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755" w14:textId="77777777" w:rsidR="00A15BEE" w:rsidRDefault="00A15BEE" w:rsidP="00A15BEE">
      <w:pPr>
        <w:spacing w:line="240" w:lineRule="auto"/>
        <w:ind w:left="720"/>
        <w:rPr>
          <w:rFonts w:ascii="Arial" w:eastAsia="Arial" w:hAnsi="Arial" w:cs="Arial"/>
          <w:sz w:val="28"/>
          <w:szCs w:val="28"/>
        </w:rPr>
      </w:pPr>
      <w:r w:rsidRPr="00AF6B77">
        <w:rPr>
          <w:noProof/>
        </w:rPr>
        <w:drawing>
          <wp:anchor distT="0" distB="0" distL="114300" distR="114300" simplePos="0" relativeHeight="251659264" behindDoc="0" locked="0" layoutInCell="1" allowOverlap="1" wp14:anchorId="4BE2E888" wp14:editId="5AFF880A">
            <wp:simplePos x="0" y="0"/>
            <wp:positionH relativeFrom="column">
              <wp:posOffset>-276225</wp:posOffset>
            </wp:positionH>
            <wp:positionV relativeFrom="paragraph">
              <wp:posOffset>-123825</wp:posOffset>
            </wp:positionV>
            <wp:extent cx="6553200" cy="882932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0" cy="88293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C489C" w14:textId="77777777" w:rsidR="00A15BEE" w:rsidRDefault="00A15BEE" w:rsidP="00A15BEE">
      <w:pPr>
        <w:spacing w:line="240" w:lineRule="auto"/>
        <w:ind w:left="720"/>
      </w:pPr>
    </w:p>
    <w:p w14:paraId="78AA759D" w14:textId="77777777" w:rsidR="00A15BEE" w:rsidRDefault="00A15BEE" w:rsidP="00A15BEE">
      <w:pPr>
        <w:spacing w:line="240" w:lineRule="auto"/>
        <w:ind w:left="720"/>
      </w:pPr>
    </w:p>
    <w:p w14:paraId="3E6F0C6F" w14:textId="77777777" w:rsidR="00A15BEE" w:rsidRDefault="00A15BEE" w:rsidP="00A15BEE">
      <w:pPr>
        <w:spacing w:line="240" w:lineRule="auto"/>
        <w:ind w:left="720"/>
      </w:pPr>
    </w:p>
    <w:p w14:paraId="453CD6AA" w14:textId="77777777" w:rsidR="00A15BEE" w:rsidRDefault="00A15BEE" w:rsidP="00A15BEE">
      <w:pPr>
        <w:spacing w:line="240" w:lineRule="auto"/>
        <w:ind w:left="720"/>
      </w:pPr>
    </w:p>
    <w:p w14:paraId="4A041784" w14:textId="77777777" w:rsidR="00A15BEE" w:rsidRDefault="00A15BEE" w:rsidP="00A15BEE">
      <w:pPr>
        <w:spacing w:line="240" w:lineRule="auto"/>
        <w:ind w:left="720"/>
      </w:pPr>
    </w:p>
    <w:p w14:paraId="1A07020A" w14:textId="77777777" w:rsidR="00A15BEE" w:rsidRDefault="00A15BEE" w:rsidP="00A15BEE">
      <w:pPr>
        <w:spacing w:line="240" w:lineRule="auto"/>
        <w:ind w:left="720"/>
      </w:pPr>
    </w:p>
    <w:p w14:paraId="19E6005E" w14:textId="77777777" w:rsidR="00A15BEE" w:rsidRDefault="00A15BEE" w:rsidP="00A15BEE">
      <w:pPr>
        <w:spacing w:line="240" w:lineRule="auto"/>
        <w:ind w:left="720"/>
      </w:pPr>
    </w:p>
    <w:p w14:paraId="27A8DB9C" w14:textId="77777777" w:rsidR="00A15BEE" w:rsidRDefault="00A15BEE" w:rsidP="00A15BEE">
      <w:pPr>
        <w:spacing w:line="240" w:lineRule="auto"/>
        <w:ind w:left="720"/>
      </w:pPr>
    </w:p>
    <w:p w14:paraId="13FDB1C3" w14:textId="77777777" w:rsidR="00A15BEE" w:rsidRDefault="00A15BEE" w:rsidP="00A15BEE">
      <w:pPr>
        <w:spacing w:line="240" w:lineRule="auto"/>
        <w:ind w:left="720"/>
      </w:pPr>
    </w:p>
    <w:p w14:paraId="06994143" w14:textId="77777777" w:rsidR="00A15BEE" w:rsidRDefault="00A15BEE" w:rsidP="00A15BEE">
      <w:pPr>
        <w:spacing w:line="240" w:lineRule="auto"/>
        <w:ind w:left="720"/>
      </w:pPr>
    </w:p>
    <w:p w14:paraId="40695C64" w14:textId="77777777" w:rsidR="00A15BEE" w:rsidRDefault="00A15BEE" w:rsidP="00A15BEE">
      <w:pPr>
        <w:spacing w:line="240" w:lineRule="auto"/>
        <w:ind w:left="720"/>
      </w:pPr>
    </w:p>
    <w:p w14:paraId="250A32E2" w14:textId="77777777" w:rsidR="00A15BEE" w:rsidRDefault="00A15BEE" w:rsidP="00A15BEE">
      <w:pPr>
        <w:spacing w:line="240" w:lineRule="auto"/>
        <w:ind w:left="720"/>
      </w:pPr>
    </w:p>
    <w:p w14:paraId="134ED7AE" w14:textId="77777777" w:rsidR="00A15BEE" w:rsidRDefault="00A15BEE" w:rsidP="00A15BEE">
      <w:pPr>
        <w:spacing w:line="240" w:lineRule="auto"/>
        <w:ind w:left="720"/>
      </w:pPr>
    </w:p>
    <w:p w14:paraId="52B4DDF0" w14:textId="77777777" w:rsidR="00A15BEE" w:rsidRDefault="00A15BEE" w:rsidP="00A15BEE">
      <w:pPr>
        <w:spacing w:line="240" w:lineRule="auto"/>
        <w:ind w:left="720"/>
      </w:pPr>
    </w:p>
    <w:p w14:paraId="7FB33512" w14:textId="77777777" w:rsidR="00A15BEE" w:rsidRDefault="00A15BEE" w:rsidP="00A15BEE">
      <w:pPr>
        <w:spacing w:line="240" w:lineRule="auto"/>
        <w:ind w:left="720"/>
      </w:pPr>
    </w:p>
    <w:p w14:paraId="19080188" w14:textId="77777777" w:rsidR="00A15BEE" w:rsidRDefault="00A15BEE" w:rsidP="00A15BEE">
      <w:pPr>
        <w:spacing w:line="240" w:lineRule="auto"/>
        <w:ind w:left="720"/>
      </w:pPr>
    </w:p>
    <w:p w14:paraId="632F79F9" w14:textId="77777777" w:rsidR="00A15BEE" w:rsidRDefault="00A15BEE" w:rsidP="00A15BEE">
      <w:pPr>
        <w:spacing w:line="240" w:lineRule="auto"/>
        <w:ind w:left="720"/>
      </w:pPr>
    </w:p>
    <w:p w14:paraId="2F672ECF" w14:textId="77777777" w:rsidR="00A15BEE" w:rsidRDefault="00A15BEE" w:rsidP="00A15BEE">
      <w:pPr>
        <w:spacing w:line="240" w:lineRule="auto"/>
        <w:ind w:left="720"/>
      </w:pPr>
    </w:p>
    <w:p w14:paraId="247B7D83" w14:textId="77777777" w:rsidR="00A15BEE" w:rsidRDefault="00A15BEE" w:rsidP="00A15BEE">
      <w:pPr>
        <w:spacing w:line="240" w:lineRule="auto"/>
        <w:ind w:left="720"/>
      </w:pPr>
    </w:p>
    <w:p w14:paraId="308ADAEA" w14:textId="77777777" w:rsidR="00A15BEE" w:rsidRDefault="00A15BEE" w:rsidP="00A15BEE">
      <w:pPr>
        <w:spacing w:line="240" w:lineRule="auto"/>
        <w:ind w:left="720"/>
      </w:pPr>
    </w:p>
    <w:p w14:paraId="59FD120E" w14:textId="77777777" w:rsidR="00A15BEE" w:rsidRDefault="00A15BEE" w:rsidP="00A15BEE">
      <w:pPr>
        <w:spacing w:line="240" w:lineRule="auto"/>
        <w:ind w:left="720"/>
      </w:pPr>
    </w:p>
    <w:p w14:paraId="5CAA9520" w14:textId="77777777" w:rsidR="00A15BEE" w:rsidRDefault="00A15BEE" w:rsidP="00A15BEE">
      <w:pPr>
        <w:spacing w:line="240" w:lineRule="auto"/>
        <w:ind w:left="720"/>
      </w:pPr>
    </w:p>
    <w:p w14:paraId="1727D800" w14:textId="77777777" w:rsidR="00A15BEE" w:rsidRDefault="00A15BEE" w:rsidP="00A15BEE">
      <w:pPr>
        <w:spacing w:line="240" w:lineRule="auto"/>
        <w:ind w:left="720"/>
      </w:pPr>
    </w:p>
    <w:p w14:paraId="6E9636A3" w14:textId="77777777" w:rsidR="00A15BEE" w:rsidRDefault="00A15BEE" w:rsidP="00A15BEE">
      <w:pPr>
        <w:spacing w:line="240" w:lineRule="auto"/>
        <w:ind w:left="720"/>
      </w:pPr>
    </w:p>
    <w:p w14:paraId="13BB05BA" w14:textId="77777777" w:rsidR="00A15BEE" w:rsidRDefault="00A15BEE" w:rsidP="00A15BEE">
      <w:pPr>
        <w:spacing w:line="240" w:lineRule="auto"/>
        <w:ind w:left="720"/>
      </w:pPr>
    </w:p>
    <w:p w14:paraId="08D76373" w14:textId="77777777" w:rsidR="00A15BEE" w:rsidRDefault="00A15BEE" w:rsidP="00A15BEE">
      <w:pPr>
        <w:spacing w:line="240" w:lineRule="auto"/>
        <w:ind w:left="720"/>
      </w:pPr>
    </w:p>
    <w:p w14:paraId="4A0EF311" w14:textId="77777777" w:rsidR="00A15BEE" w:rsidRPr="006977CA" w:rsidRDefault="00A15BEE" w:rsidP="00A15BEE">
      <w:pPr>
        <w:spacing w:line="240" w:lineRule="auto"/>
        <w:jc w:val="both"/>
        <w:rPr>
          <w:rFonts w:eastAsia="Times New Roman" w:cstheme="minorHAnsi"/>
        </w:rPr>
      </w:pPr>
      <w:r w:rsidRPr="006977CA">
        <w:rPr>
          <w:rFonts w:eastAsia="Times New Roman" w:cstheme="minorHAnsi"/>
        </w:rPr>
        <w:lastRenderedPageBreak/>
        <w:t xml:space="preserve">If a student, </w:t>
      </w:r>
      <w:proofErr w:type="gramStart"/>
      <w:r w:rsidRPr="006977CA">
        <w:rPr>
          <w:rFonts w:eastAsia="Times New Roman" w:cstheme="minorHAnsi"/>
        </w:rPr>
        <w:t>employee</w:t>
      </w:r>
      <w:proofErr w:type="gramEnd"/>
      <w:r w:rsidRPr="006977CA">
        <w:rPr>
          <w:rFonts w:eastAsia="Times New Roman" w:cstheme="minorHAnsi"/>
        </w:rPr>
        <w:t xml:space="preserve"> or visitor has been the victim of crime, specifically an incident of sexual assault, domestic violence, dating violence, or stalking they should immediately report it to the Department of Public Safety at 706-272-4461. </w:t>
      </w:r>
    </w:p>
    <w:p w14:paraId="3A8FA72C" w14:textId="77777777" w:rsidR="00A15BEE" w:rsidRPr="006977CA" w:rsidRDefault="00A15BEE" w:rsidP="00A15BEE">
      <w:pPr>
        <w:widowControl w:val="0"/>
        <w:numPr>
          <w:ilvl w:val="0"/>
          <w:numId w:val="4"/>
        </w:numPr>
        <w:spacing w:after="0" w:line="240" w:lineRule="auto"/>
        <w:contextualSpacing/>
        <w:jc w:val="both"/>
        <w:rPr>
          <w:rFonts w:eastAsia="Times New Roman" w:cstheme="minorHAnsi"/>
        </w:rPr>
      </w:pPr>
      <w:r w:rsidRPr="006977CA">
        <w:rPr>
          <w:rFonts w:eastAsia="Times New Roman" w:cstheme="minorHAnsi"/>
        </w:rPr>
        <w:t xml:space="preserve">Students may also report to the </w:t>
      </w:r>
      <w:r>
        <w:rPr>
          <w:rFonts w:cstheme="minorHAnsi"/>
        </w:rPr>
        <w:t>Associate</w:t>
      </w:r>
      <w:r w:rsidRPr="006977CA">
        <w:rPr>
          <w:rFonts w:cstheme="minorHAnsi"/>
        </w:rPr>
        <w:t xml:space="preserve"> Director of Student Conduct</w:t>
      </w:r>
      <w:r>
        <w:rPr>
          <w:rFonts w:cstheme="minorHAnsi"/>
        </w:rPr>
        <w:t>/Case Management</w:t>
      </w:r>
      <w:r w:rsidRPr="006977CA">
        <w:rPr>
          <w:rFonts w:cstheme="minorHAnsi"/>
        </w:rPr>
        <w:t xml:space="preserve"> </w:t>
      </w:r>
      <w:r w:rsidRPr="006977CA">
        <w:rPr>
          <w:rFonts w:eastAsia="Times New Roman" w:cstheme="minorHAnsi"/>
        </w:rPr>
        <w:t>in the Pope Student Center, Office 2</w:t>
      </w:r>
      <w:r>
        <w:rPr>
          <w:rFonts w:eastAsia="Times New Roman" w:cstheme="minorHAnsi"/>
        </w:rPr>
        <w:t>2</w:t>
      </w:r>
      <w:r w:rsidRPr="006977CA">
        <w:rPr>
          <w:rFonts w:eastAsia="Times New Roman" w:cstheme="minorHAnsi"/>
        </w:rPr>
        <w:t xml:space="preserve">5 or by phone 706-272-2999. </w:t>
      </w:r>
    </w:p>
    <w:p w14:paraId="340D0E37" w14:textId="77777777" w:rsidR="00A15BEE" w:rsidRPr="006977CA" w:rsidRDefault="00A15BEE" w:rsidP="00A15BEE">
      <w:pPr>
        <w:widowControl w:val="0"/>
        <w:numPr>
          <w:ilvl w:val="0"/>
          <w:numId w:val="4"/>
        </w:numPr>
        <w:spacing w:after="0" w:line="240" w:lineRule="auto"/>
        <w:contextualSpacing/>
        <w:jc w:val="both"/>
        <w:rPr>
          <w:rFonts w:eastAsia="Times New Roman" w:cstheme="minorHAnsi"/>
        </w:rPr>
      </w:pPr>
      <w:r w:rsidRPr="006977CA">
        <w:rPr>
          <w:rFonts w:eastAsia="Times New Roman" w:cstheme="minorHAnsi"/>
        </w:rPr>
        <w:t xml:space="preserve">Employees may report to the </w:t>
      </w:r>
      <w:r>
        <w:rPr>
          <w:rFonts w:eastAsia="Times New Roman" w:cstheme="minorHAnsi"/>
        </w:rPr>
        <w:t>Assistant Vice President</w:t>
      </w:r>
      <w:r w:rsidRPr="006977CA">
        <w:rPr>
          <w:rFonts w:eastAsia="Times New Roman" w:cstheme="minorHAnsi"/>
        </w:rPr>
        <w:t xml:space="preserve"> of Human Resources, in Brown Hall, Office 315 or by calling 706-272-2034. </w:t>
      </w:r>
    </w:p>
    <w:p w14:paraId="73E7158A" w14:textId="77777777" w:rsidR="00A15BEE" w:rsidRPr="006977CA" w:rsidRDefault="00A15BEE" w:rsidP="00A15BEE">
      <w:pPr>
        <w:spacing w:before="240" w:after="0" w:line="240" w:lineRule="auto"/>
        <w:jc w:val="both"/>
        <w:rPr>
          <w:rFonts w:eastAsia="Times New Roman" w:cstheme="minorHAnsi"/>
        </w:rPr>
      </w:pPr>
      <w:r w:rsidRPr="006977CA">
        <w:rPr>
          <w:rFonts w:eastAsia="Times New Roman" w:cstheme="minorHAnsi"/>
        </w:rPr>
        <w:t xml:space="preserve">Other offices have also been designated as reporting locations and will assist any victim of sexual assault, domestic violence, dating violence, and stalking in notifying law enforcement, including campus police, if they elect to do </w:t>
      </w:r>
      <w:proofErr w:type="gramStart"/>
      <w:r w:rsidRPr="006977CA">
        <w:rPr>
          <w:rFonts w:eastAsia="Times New Roman" w:cstheme="minorHAnsi"/>
        </w:rPr>
        <w:t>so;</w:t>
      </w:r>
      <w:proofErr w:type="gramEnd"/>
    </w:p>
    <w:p w14:paraId="03324CDE" w14:textId="77777777" w:rsidR="00A15BEE" w:rsidRPr="006977CA" w:rsidRDefault="00A15BEE" w:rsidP="00A15BEE">
      <w:pPr>
        <w:spacing w:before="240" w:line="240" w:lineRule="auto"/>
        <w:jc w:val="both"/>
        <w:rPr>
          <w:rFonts w:eastAsia="Times New Roman" w:cstheme="minorHAnsi"/>
        </w:rPr>
      </w:pPr>
    </w:p>
    <w:tbl>
      <w:tblPr>
        <w:tblStyle w:val="TableGrid1"/>
        <w:tblW w:w="8838" w:type="dxa"/>
        <w:tblInd w:w="1081" w:type="dxa"/>
        <w:tblLook w:val="04A0" w:firstRow="1" w:lastRow="0" w:firstColumn="1" w:lastColumn="0" w:noHBand="0" w:noVBand="1"/>
      </w:tblPr>
      <w:tblGrid>
        <w:gridCol w:w="2214"/>
        <w:gridCol w:w="3114"/>
        <w:gridCol w:w="3510"/>
      </w:tblGrid>
      <w:tr w:rsidR="00A15BEE" w:rsidRPr="006977CA" w14:paraId="4F62036F" w14:textId="77777777" w:rsidTr="00E60775">
        <w:tc>
          <w:tcPr>
            <w:tcW w:w="2214" w:type="dxa"/>
          </w:tcPr>
          <w:p w14:paraId="3BBB8C55" w14:textId="77777777" w:rsidR="00A15BEE" w:rsidRPr="006977CA" w:rsidRDefault="00A15BEE" w:rsidP="00E60775">
            <w:pPr>
              <w:autoSpaceDE w:val="0"/>
              <w:autoSpaceDN w:val="0"/>
              <w:adjustRightInd w:val="0"/>
              <w:spacing w:before="120"/>
              <w:jc w:val="center"/>
              <w:rPr>
                <w:rFonts w:cstheme="minorHAnsi"/>
                <w:b/>
                <w:sz w:val="22"/>
                <w:szCs w:val="22"/>
              </w:rPr>
            </w:pPr>
            <w:r w:rsidRPr="006977CA">
              <w:rPr>
                <w:rFonts w:cstheme="minorHAnsi"/>
                <w:b/>
                <w:sz w:val="22"/>
                <w:szCs w:val="22"/>
              </w:rPr>
              <w:t>Official</w:t>
            </w:r>
          </w:p>
        </w:tc>
        <w:tc>
          <w:tcPr>
            <w:tcW w:w="3114" w:type="dxa"/>
          </w:tcPr>
          <w:p w14:paraId="25036EC0" w14:textId="77777777" w:rsidR="00A15BEE" w:rsidRPr="006977CA" w:rsidRDefault="00A15BEE" w:rsidP="00E60775">
            <w:pPr>
              <w:autoSpaceDE w:val="0"/>
              <w:autoSpaceDN w:val="0"/>
              <w:adjustRightInd w:val="0"/>
              <w:spacing w:before="120"/>
              <w:jc w:val="center"/>
              <w:rPr>
                <w:rFonts w:cstheme="minorHAnsi"/>
                <w:b/>
                <w:sz w:val="22"/>
                <w:szCs w:val="22"/>
                <w:highlight w:val="yellow"/>
              </w:rPr>
            </w:pPr>
            <w:r w:rsidRPr="006977CA">
              <w:rPr>
                <w:rFonts w:cstheme="minorHAnsi"/>
                <w:b/>
                <w:sz w:val="22"/>
                <w:szCs w:val="22"/>
              </w:rPr>
              <w:t>Campus Address</w:t>
            </w:r>
          </w:p>
        </w:tc>
        <w:tc>
          <w:tcPr>
            <w:tcW w:w="3510" w:type="dxa"/>
          </w:tcPr>
          <w:p w14:paraId="0FBC8C60" w14:textId="77777777" w:rsidR="00A15BEE" w:rsidRPr="006977CA" w:rsidRDefault="00A15BEE" w:rsidP="00E60775">
            <w:pPr>
              <w:autoSpaceDE w:val="0"/>
              <w:autoSpaceDN w:val="0"/>
              <w:adjustRightInd w:val="0"/>
              <w:spacing w:before="120"/>
              <w:jc w:val="center"/>
              <w:rPr>
                <w:rFonts w:cstheme="minorHAnsi"/>
                <w:b/>
                <w:sz w:val="22"/>
                <w:szCs w:val="22"/>
                <w:highlight w:val="yellow"/>
              </w:rPr>
            </w:pPr>
            <w:r w:rsidRPr="006977CA">
              <w:rPr>
                <w:rFonts w:cstheme="minorHAnsi"/>
                <w:b/>
                <w:sz w:val="22"/>
                <w:szCs w:val="22"/>
              </w:rPr>
              <w:t>Phone Number</w:t>
            </w:r>
          </w:p>
        </w:tc>
      </w:tr>
      <w:tr w:rsidR="00A15BEE" w:rsidRPr="006977CA" w14:paraId="2750102E" w14:textId="77777777" w:rsidTr="00E60775">
        <w:tc>
          <w:tcPr>
            <w:tcW w:w="2214" w:type="dxa"/>
          </w:tcPr>
          <w:p w14:paraId="7E2A9AE1"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Campus Police &amp; Public Safety</w:t>
            </w:r>
          </w:p>
        </w:tc>
        <w:tc>
          <w:tcPr>
            <w:tcW w:w="3114" w:type="dxa"/>
          </w:tcPr>
          <w:p w14:paraId="4384969C"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Health Professions Building Suite 300</w:t>
            </w:r>
          </w:p>
        </w:tc>
        <w:tc>
          <w:tcPr>
            <w:tcW w:w="3510" w:type="dxa"/>
          </w:tcPr>
          <w:p w14:paraId="5092B5AA" w14:textId="77777777" w:rsidR="00A15BEE" w:rsidRPr="006977CA" w:rsidRDefault="00A15BEE" w:rsidP="00E60775">
            <w:pPr>
              <w:spacing w:before="120"/>
              <w:rPr>
                <w:rFonts w:cstheme="minorHAnsi"/>
                <w:sz w:val="22"/>
                <w:szCs w:val="22"/>
                <w:highlight w:val="yellow"/>
              </w:rPr>
            </w:pPr>
            <w:r w:rsidRPr="006977CA">
              <w:rPr>
                <w:rFonts w:cstheme="minorHAnsi"/>
                <w:sz w:val="22"/>
                <w:szCs w:val="22"/>
              </w:rPr>
              <w:t>706-272-4461 24hrs/7 days</w:t>
            </w:r>
          </w:p>
        </w:tc>
      </w:tr>
      <w:tr w:rsidR="00A15BEE" w:rsidRPr="006977CA" w14:paraId="218D0BD7" w14:textId="77777777" w:rsidTr="00E60775">
        <w:tc>
          <w:tcPr>
            <w:tcW w:w="2214" w:type="dxa"/>
          </w:tcPr>
          <w:p w14:paraId="45896AE2"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Provost and Vice President for Academic Affairs</w:t>
            </w:r>
          </w:p>
        </w:tc>
        <w:tc>
          <w:tcPr>
            <w:tcW w:w="3114" w:type="dxa"/>
          </w:tcPr>
          <w:p w14:paraId="43D64674"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Westcott Hall, Office 166</w:t>
            </w:r>
          </w:p>
        </w:tc>
        <w:tc>
          <w:tcPr>
            <w:tcW w:w="3510" w:type="dxa"/>
          </w:tcPr>
          <w:p w14:paraId="0E59AEA1" w14:textId="77777777" w:rsidR="00A15BEE" w:rsidRPr="006977CA" w:rsidRDefault="00A15BEE" w:rsidP="00E60775">
            <w:pPr>
              <w:spacing w:before="120"/>
              <w:rPr>
                <w:rFonts w:cstheme="minorHAnsi"/>
                <w:sz w:val="22"/>
                <w:szCs w:val="22"/>
                <w:highlight w:val="yellow"/>
              </w:rPr>
            </w:pPr>
            <w:r w:rsidRPr="006977CA">
              <w:rPr>
                <w:rFonts w:cstheme="minorHAnsi"/>
                <w:sz w:val="22"/>
                <w:szCs w:val="22"/>
              </w:rPr>
              <w:t>706-272-2491</w:t>
            </w:r>
          </w:p>
        </w:tc>
      </w:tr>
      <w:tr w:rsidR="00A15BEE" w:rsidRPr="006977CA" w14:paraId="4B90DA93" w14:textId="77777777" w:rsidTr="00E60775">
        <w:tc>
          <w:tcPr>
            <w:tcW w:w="2214" w:type="dxa"/>
          </w:tcPr>
          <w:p w14:paraId="3B0BF72B"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Assistant Vice President of Human Resources</w:t>
            </w:r>
          </w:p>
        </w:tc>
        <w:tc>
          <w:tcPr>
            <w:tcW w:w="3114" w:type="dxa"/>
          </w:tcPr>
          <w:p w14:paraId="55161213"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 xml:space="preserve">Brown Hall, Office 315 </w:t>
            </w:r>
          </w:p>
        </w:tc>
        <w:tc>
          <w:tcPr>
            <w:tcW w:w="3510" w:type="dxa"/>
          </w:tcPr>
          <w:p w14:paraId="4AC03A7E"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706-272-2034</w:t>
            </w:r>
          </w:p>
        </w:tc>
      </w:tr>
      <w:tr w:rsidR="00A15BEE" w:rsidRPr="006977CA" w14:paraId="4917E1B6" w14:textId="77777777" w:rsidTr="00E60775">
        <w:tc>
          <w:tcPr>
            <w:tcW w:w="2214" w:type="dxa"/>
          </w:tcPr>
          <w:p w14:paraId="0F1E1B56" w14:textId="77777777" w:rsidR="00A15BEE" w:rsidRPr="006977CA" w:rsidRDefault="00A15BEE" w:rsidP="00E60775">
            <w:pPr>
              <w:autoSpaceDE w:val="0"/>
              <w:autoSpaceDN w:val="0"/>
              <w:adjustRightInd w:val="0"/>
              <w:spacing w:before="120"/>
              <w:rPr>
                <w:rFonts w:cstheme="minorHAnsi"/>
                <w:sz w:val="22"/>
                <w:szCs w:val="22"/>
              </w:rPr>
            </w:pPr>
            <w:r>
              <w:rPr>
                <w:rFonts w:cstheme="minorHAnsi"/>
                <w:sz w:val="22"/>
                <w:szCs w:val="22"/>
              </w:rPr>
              <w:t>Associate</w:t>
            </w:r>
            <w:r w:rsidRPr="006977CA">
              <w:rPr>
                <w:rFonts w:cstheme="minorHAnsi"/>
                <w:sz w:val="22"/>
                <w:szCs w:val="22"/>
              </w:rPr>
              <w:t xml:space="preserve"> Director of Student Conduct</w:t>
            </w:r>
            <w:r>
              <w:rPr>
                <w:rFonts w:cstheme="minorHAnsi"/>
                <w:sz w:val="22"/>
                <w:szCs w:val="22"/>
              </w:rPr>
              <w:t>/Case Management</w:t>
            </w:r>
            <w:r w:rsidRPr="006977CA">
              <w:rPr>
                <w:rFonts w:cstheme="minorHAnsi"/>
                <w:sz w:val="22"/>
                <w:szCs w:val="22"/>
              </w:rPr>
              <w:t xml:space="preserve"> </w:t>
            </w:r>
          </w:p>
        </w:tc>
        <w:tc>
          <w:tcPr>
            <w:tcW w:w="3114" w:type="dxa"/>
          </w:tcPr>
          <w:p w14:paraId="110B753B"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Pope Student Center, Office 2</w:t>
            </w:r>
            <w:r>
              <w:rPr>
                <w:rFonts w:cstheme="minorHAnsi"/>
                <w:sz w:val="22"/>
                <w:szCs w:val="22"/>
              </w:rPr>
              <w:t>2</w:t>
            </w:r>
            <w:r w:rsidRPr="006977CA">
              <w:rPr>
                <w:rFonts w:cstheme="minorHAnsi"/>
                <w:sz w:val="22"/>
                <w:szCs w:val="22"/>
              </w:rPr>
              <w:t>5</w:t>
            </w:r>
          </w:p>
        </w:tc>
        <w:tc>
          <w:tcPr>
            <w:tcW w:w="3510" w:type="dxa"/>
          </w:tcPr>
          <w:p w14:paraId="7F9D1ABE"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706-272-2999</w:t>
            </w:r>
          </w:p>
        </w:tc>
      </w:tr>
      <w:tr w:rsidR="00A15BEE" w:rsidRPr="006977CA" w14:paraId="16F4D731" w14:textId="77777777" w:rsidTr="00E60775">
        <w:tc>
          <w:tcPr>
            <w:tcW w:w="2214" w:type="dxa"/>
          </w:tcPr>
          <w:p w14:paraId="343AD22B"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 xml:space="preserve">Dean of Students </w:t>
            </w:r>
          </w:p>
        </w:tc>
        <w:tc>
          <w:tcPr>
            <w:tcW w:w="3114" w:type="dxa"/>
          </w:tcPr>
          <w:p w14:paraId="4F9D874C"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Pope Student Center, Office 223</w:t>
            </w:r>
          </w:p>
        </w:tc>
        <w:tc>
          <w:tcPr>
            <w:tcW w:w="3510" w:type="dxa"/>
          </w:tcPr>
          <w:p w14:paraId="695C59FB"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706-272-2505</w:t>
            </w:r>
          </w:p>
        </w:tc>
      </w:tr>
      <w:tr w:rsidR="00A15BEE" w:rsidRPr="006977CA" w14:paraId="39B1ABD9" w14:textId="77777777" w:rsidTr="00E60775">
        <w:tc>
          <w:tcPr>
            <w:tcW w:w="2214" w:type="dxa"/>
          </w:tcPr>
          <w:p w14:paraId="49F02095"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The Office of Residence Life</w:t>
            </w:r>
          </w:p>
        </w:tc>
        <w:tc>
          <w:tcPr>
            <w:tcW w:w="3114" w:type="dxa"/>
          </w:tcPr>
          <w:p w14:paraId="1C1ECD4C" w14:textId="77777777" w:rsidR="00A15BEE" w:rsidRPr="006977CA" w:rsidRDefault="00A15BEE" w:rsidP="00E60775">
            <w:pPr>
              <w:autoSpaceDE w:val="0"/>
              <w:autoSpaceDN w:val="0"/>
              <w:adjustRightInd w:val="0"/>
              <w:spacing w:before="120"/>
              <w:rPr>
                <w:rFonts w:cstheme="minorHAnsi"/>
                <w:sz w:val="22"/>
                <w:szCs w:val="22"/>
              </w:rPr>
            </w:pPr>
          </w:p>
          <w:p w14:paraId="64B695ED"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 xml:space="preserve">Mashburn Hall </w:t>
            </w:r>
          </w:p>
        </w:tc>
        <w:tc>
          <w:tcPr>
            <w:tcW w:w="3510" w:type="dxa"/>
          </w:tcPr>
          <w:p w14:paraId="4BA2A394" w14:textId="77777777" w:rsidR="00A15BEE" w:rsidRPr="006977CA" w:rsidRDefault="00A15BEE" w:rsidP="00E60775">
            <w:pPr>
              <w:autoSpaceDE w:val="0"/>
              <w:autoSpaceDN w:val="0"/>
              <w:adjustRightInd w:val="0"/>
              <w:spacing w:before="120"/>
              <w:rPr>
                <w:rFonts w:cstheme="minorHAnsi"/>
                <w:sz w:val="22"/>
                <w:szCs w:val="22"/>
              </w:rPr>
            </w:pPr>
          </w:p>
          <w:p w14:paraId="396A2F9F" w14:textId="77777777" w:rsidR="00A15BEE" w:rsidRPr="006977CA" w:rsidRDefault="00A15BEE" w:rsidP="00E60775">
            <w:pPr>
              <w:autoSpaceDE w:val="0"/>
              <w:autoSpaceDN w:val="0"/>
              <w:adjustRightInd w:val="0"/>
              <w:spacing w:before="120"/>
              <w:rPr>
                <w:rFonts w:cstheme="minorHAnsi"/>
                <w:sz w:val="22"/>
                <w:szCs w:val="22"/>
                <w:highlight w:val="yellow"/>
              </w:rPr>
            </w:pPr>
            <w:r w:rsidRPr="006977CA">
              <w:rPr>
                <w:rFonts w:cstheme="minorHAnsi"/>
                <w:sz w:val="22"/>
                <w:szCs w:val="22"/>
              </w:rPr>
              <w:t>1-706-712-8228</w:t>
            </w:r>
          </w:p>
        </w:tc>
      </w:tr>
      <w:tr w:rsidR="00A15BEE" w:rsidRPr="006977CA" w14:paraId="63277936" w14:textId="77777777" w:rsidTr="00E60775">
        <w:trPr>
          <w:trHeight w:val="1403"/>
        </w:trPr>
        <w:tc>
          <w:tcPr>
            <w:tcW w:w="2214" w:type="dxa"/>
          </w:tcPr>
          <w:p w14:paraId="701A6970"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lastRenderedPageBreak/>
              <w:t>VP for Student Affairs and Enrollment Management</w:t>
            </w:r>
          </w:p>
        </w:tc>
        <w:tc>
          <w:tcPr>
            <w:tcW w:w="3114" w:type="dxa"/>
          </w:tcPr>
          <w:p w14:paraId="404BE413"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Westcott Hall, Office 109</w:t>
            </w:r>
          </w:p>
        </w:tc>
        <w:tc>
          <w:tcPr>
            <w:tcW w:w="3510" w:type="dxa"/>
          </w:tcPr>
          <w:p w14:paraId="3A798671" w14:textId="77777777" w:rsidR="00A15BEE" w:rsidRPr="006977CA" w:rsidRDefault="00A15BEE" w:rsidP="00E60775">
            <w:pPr>
              <w:autoSpaceDE w:val="0"/>
              <w:autoSpaceDN w:val="0"/>
              <w:adjustRightInd w:val="0"/>
              <w:spacing w:before="120"/>
              <w:rPr>
                <w:rFonts w:cstheme="minorHAnsi"/>
                <w:sz w:val="22"/>
                <w:szCs w:val="22"/>
              </w:rPr>
            </w:pPr>
            <w:r w:rsidRPr="006977CA">
              <w:rPr>
                <w:rFonts w:cstheme="minorHAnsi"/>
                <w:sz w:val="22"/>
                <w:szCs w:val="22"/>
              </w:rPr>
              <w:t>706-272-4475</w:t>
            </w:r>
          </w:p>
        </w:tc>
      </w:tr>
    </w:tbl>
    <w:p w14:paraId="7C61F67D" w14:textId="77777777" w:rsidR="00A15BEE" w:rsidRPr="006977CA" w:rsidRDefault="00A15BEE" w:rsidP="00A15BEE">
      <w:pPr>
        <w:spacing w:before="120" w:line="240" w:lineRule="auto"/>
        <w:jc w:val="both"/>
        <w:rPr>
          <w:rFonts w:eastAsia="Times New Roman" w:cstheme="minorHAnsi"/>
        </w:rPr>
      </w:pPr>
      <w:r w:rsidRPr="006977CA">
        <w:rPr>
          <w:rFonts w:eastAsia="Times New Roman" w:cstheme="minorHAnsi"/>
        </w:rPr>
        <w:t xml:space="preserve">Victims are not required to report to law enforcement </w:t>
      </w:r>
      <w:proofErr w:type="gramStart"/>
      <w:r w:rsidRPr="006977CA">
        <w:rPr>
          <w:rFonts w:eastAsia="Times New Roman" w:cstheme="minorHAnsi"/>
        </w:rPr>
        <w:t>in order to</w:t>
      </w:r>
      <w:proofErr w:type="gramEnd"/>
      <w:r w:rsidRPr="006977CA">
        <w:rPr>
          <w:rFonts w:eastAsia="Times New Roman" w:cstheme="minorHAnsi"/>
        </w:rPr>
        <w:t xml:space="preserve"> receive assistance from or pursue any options with Dalton State.</w:t>
      </w:r>
    </w:p>
    <w:p w14:paraId="553A0C80" w14:textId="77777777" w:rsidR="00A15BEE" w:rsidRPr="006977CA" w:rsidRDefault="00A15BEE" w:rsidP="00A15BEE">
      <w:pPr>
        <w:spacing w:before="120" w:line="240" w:lineRule="auto"/>
        <w:jc w:val="both"/>
        <w:rPr>
          <w:rFonts w:eastAsia="Times New Roman" w:cstheme="minorHAnsi"/>
        </w:rPr>
      </w:pPr>
      <w:r w:rsidRPr="006977CA">
        <w:rPr>
          <w:rFonts w:eastAsia="Times New Roman" w:cstheme="minorHAnsi"/>
        </w:rPr>
        <w:t xml:space="preserve">The Public Safety Department or designated offices can assist a victim in obtaining a restraining order, or medical assistance after being involved in an incident. </w:t>
      </w:r>
    </w:p>
    <w:p w14:paraId="2EFE6457" w14:textId="77777777" w:rsidR="00A15BEE" w:rsidRPr="006977CA" w:rsidRDefault="00A15BEE" w:rsidP="00A15BEE">
      <w:pPr>
        <w:spacing w:before="120" w:line="240" w:lineRule="auto"/>
        <w:jc w:val="both"/>
        <w:rPr>
          <w:rFonts w:eastAsia="Times New Roman" w:cstheme="minorHAnsi"/>
        </w:rPr>
      </w:pPr>
      <w:r w:rsidRPr="006977CA">
        <w:rPr>
          <w:rFonts w:eastAsia="Times New Roman" w:cstheme="minorHAnsi"/>
        </w:rPr>
        <w:t xml:space="preserve">The designated offices will provide the victim with a copy of these rights and options regardless of whether the incident occurred on campus. Also, the victim can get information on counseling, mental health services, victim advocacy, legal assistance, visa and immigration assistance, student financial aid, and other services available to victims. Also, changes may be made to academic, living, transportation, and working situations, or protective measures regardless of whether the victim reports the incident to law enforcement.  </w:t>
      </w:r>
    </w:p>
    <w:p w14:paraId="705C2F46"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r w:rsidRPr="006977CA">
        <w:rPr>
          <w:rFonts w:eastAsia="Times New Roman" w:cstheme="minorHAnsi"/>
          <w:b/>
          <w:bCs/>
        </w:rPr>
        <w:t>Procedures Victims Should Follow</w:t>
      </w:r>
    </w:p>
    <w:p w14:paraId="1B8E902F" w14:textId="77777777" w:rsidR="00A15BEE" w:rsidRPr="006977CA" w:rsidRDefault="00A15BEE" w:rsidP="00A15BEE">
      <w:pPr>
        <w:spacing w:before="120" w:line="240" w:lineRule="auto"/>
        <w:ind w:left="720"/>
        <w:contextualSpacing/>
        <w:jc w:val="both"/>
        <w:rPr>
          <w:rFonts w:eastAsia="Times New Roman" w:cstheme="minorHAnsi"/>
          <w:b/>
          <w:bCs/>
        </w:rPr>
      </w:pPr>
    </w:p>
    <w:p w14:paraId="473E2960" w14:textId="77777777" w:rsidR="00A15BEE" w:rsidRPr="006977CA" w:rsidRDefault="00A15BEE" w:rsidP="00A15BEE">
      <w:pPr>
        <w:spacing w:before="120" w:line="240" w:lineRule="auto"/>
        <w:ind w:left="720"/>
        <w:jc w:val="both"/>
        <w:rPr>
          <w:rFonts w:eastAsia="Times New Roman" w:cstheme="minorHAnsi"/>
        </w:rPr>
      </w:pPr>
      <w:r w:rsidRPr="006977CA">
        <w:rPr>
          <w:rFonts w:eastAsia="Times New Roman" w:cstheme="minorHAnsi"/>
        </w:rPr>
        <w:t>If an incident of sexual assault, domestic violence, dating violence, or stalking occurs it is important to preserve evidence so that a successful criminal prosecution remains an option. The victim of a sexual assault should not wash, douche, use the toilet, or change clothing prior to a medical exam – which is important both to address any health issues that may arise and evidence collection. Any clothing removed should be placed in a paper, not plastic, bag. Evidence of violence, such as bruising or other visible injuries, following an incident of domestic or dating violence should be documented by taking a photograph. Evidence of stalking including any communication, such as written notes, voice mail or other electronic communications should be saved and not altered.</w:t>
      </w:r>
    </w:p>
    <w:p w14:paraId="36C61A99"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r w:rsidRPr="006977CA">
        <w:rPr>
          <w:rFonts w:eastAsia="Times New Roman" w:cstheme="minorHAnsi"/>
          <w:b/>
          <w:bCs/>
        </w:rPr>
        <w:t>On &amp; Off Campus Resources</w:t>
      </w:r>
    </w:p>
    <w:p w14:paraId="68F72770" w14:textId="77777777" w:rsidR="00A15BEE" w:rsidRPr="006977CA" w:rsidRDefault="00A15BEE" w:rsidP="00A15BEE">
      <w:pPr>
        <w:spacing w:before="120" w:line="240" w:lineRule="auto"/>
        <w:ind w:left="720"/>
        <w:contextualSpacing/>
        <w:jc w:val="both"/>
        <w:rPr>
          <w:rFonts w:eastAsia="Times New Roman" w:cstheme="minorHAnsi"/>
          <w:b/>
          <w:bCs/>
        </w:rPr>
      </w:pPr>
    </w:p>
    <w:p w14:paraId="6CB0D4F1" w14:textId="77777777" w:rsidR="00A15BEE" w:rsidRPr="006977CA" w:rsidRDefault="00A15BEE" w:rsidP="00A15BEE">
      <w:pPr>
        <w:spacing w:before="120" w:line="240" w:lineRule="auto"/>
        <w:ind w:left="720"/>
        <w:jc w:val="both"/>
        <w:rPr>
          <w:rFonts w:eastAsia="Times New Roman" w:cstheme="minorHAnsi"/>
        </w:rPr>
      </w:pPr>
      <w:r w:rsidRPr="006977CA">
        <w:rPr>
          <w:rFonts w:eastAsia="Times New Roman" w:cstheme="minorHAnsi"/>
        </w:rPr>
        <w:t xml:space="preserve">Both Dalton State and our local community offer other important resources to the victims of sexual violence including medical treatment, </w:t>
      </w:r>
      <w:proofErr w:type="gramStart"/>
      <w:r w:rsidRPr="006977CA">
        <w:rPr>
          <w:rFonts w:eastAsia="Times New Roman" w:cstheme="minorHAnsi"/>
        </w:rPr>
        <w:t>counseling</w:t>
      </w:r>
      <w:proofErr w:type="gramEnd"/>
      <w:r w:rsidRPr="006977CA">
        <w:rPr>
          <w:rFonts w:eastAsia="Times New Roman" w:cstheme="minorHAnsi"/>
        </w:rPr>
        <w:t xml:space="preserve"> and advocacy they may wish to utilize. </w:t>
      </w:r>
      <w:proofErr w:type="gramStart"/>
      <w:r w:rsidRPr="006977CA">
        <w:rPr>
          <w:rFonts w:eastAsia="Times New Roman" w:cstheme="minorHAnsi"/>
        </w:rPr>
        <w:t>Whitfield</w:t>
      </w:r>
      <w:proofErr w:type="gramEnd"/>
      <w:r w:rsidRPr="006977CA">
        <w:rPr>
          <w:rFonts w:eastAsia="Times New Roman" w:cstheme="minorHAnsi"/>
        </w:rPr>
        <w:t xml:space="preserve"> County Victim/Witness Assistance Office is available to assist any student or employee free of charge and will help them consider their options and navigate through any resources or recourse they elect to pursue. A victim need not make a formal report to law enforcement or Dalton State to access these resources.</w:t>
      </w:r>
    </w:p>
    <w:p w14:paraId="56E618E9" w14:textId="77777777" w:rsidR="00A15BEE" w:rsidRPr="006977CA" w:rsidRDefault="00A15BEE" w:rsidP="00A15BEE">
      <w:pPr>
        <w:spacing w:after="0" w:line="240" w:lineRule="auto"/>
        <w:ind w:left="1440"/>
        <w:jc w:val="both"/>
        <w:rPr>
          <w:rFonts w:eastAsia="Times New Roman" w:cstheme="minorHAnsi"/>
        </w:rPr>
      </w:pPr>
      <w:r>
        <w:rPr>
          <w:rFonts w:eastAsia="Times New Roman" w:cstheme="minorHAnsi"/>
        </w:rPr>
        <w:t xml:space="preserve">Whitfield County Victim Assistance </w:t>
      </w:r>
      <w:r w:rsidRPr="006977CA">
        <w:rPr>
          <w:rFonts w:eastAsia="Times New Roman" w:cstheme="minorHAnsi"/>
        </w:rPr>
        <w:t xml:space="preserve">                             </w:t>
      </w:r>
      <w:r>
        <w:rPr>
          <w:rFonts w:eastAsia="Times New Roman" w:cstheme="minorHAnsi"/>
        </w:rPr>
        <w:t xml:space="preserve">                             </w:t>
      </w:r>
      <w:r w:rsidRPr="006977CA">
        <w:rPr>
          <w:rFonts w:eastAsia="Times New Roman" w:cstheme="minorHAnsi"/>
        </w:rPr>
        <w:t xml:space="preserve"> </w:t>
      </w:r>
      <w:r>
        <w:rPr>
          <w:rFonts w:eastAsia="Times New Roman" w:cstheme="minorHAnsi"/>
        </w:rPr>
        <w:t xml:space="preserve">        </w:t>
      </w:r>
      <w:r w:rsidRPr="008B014E">
        <w:rPr>
          <w:rFonts w:eastAsia="Times New Roman" w:cstheme="minorHAnsi"/>
        </w:rPr>
        <w:t>706</w:t>
      </w:r>
      <w:r>
        <w:rPr>
          <w:rFonts w:eastAsia="Times New Roman" w:cstheme="minorHAnsi"/>
        </w:rPr>
        <w:t>-</w:t>
      </w:r>
      <w:r w:rsidRPr="008B014E">
        <w:rPr>
          <w:rFonts w:eastAsia="Times New Roman" w:cstheme="minorHAnsi"/>
        </w:rPr>
        <w:t>876-1556</w:t>
      </w:r>
    </w:p>
    <w:p w14:paraId="54568A1F" w14:textId="77777777" w:rsidR="00A15BEE" w:rsidRPr="006977CA" w:rsidRDefault="00A15BEE" w:rsidP="00A15BEE">
      <w:pPr>
        <w:spacing w:after="0" w:line="240" w:lineRule="auto"/>
        <w:ind w:left="1440"/>
        <w:jc w:val="both"/>
        <w:rPr>
          <w:rFonts w:eastAsia="Times New Roman" w:cstheme="minorHAnsi"/>
        </w:rPr>
      </w:pPr>
      <w:r w:rsidRPr="006977CA">
        <w:rPr>
          <w:rFonts w:eastAsia="Times New Roman" w:cstheme="minorHAnsi"/>
        </w:rPr>
        <w:t xml:space="preserve">DSC Counseling Center               </w:t>
      </w:r>
      <w:r w:rsidRPr="006977CA">
        <w:rPr>
          <w:rFonts w:eastAsia="Times New Roman" w:cstheme="minorHAnsi"/>
        </w:rPr>
        <w:tab/>
      </w:r>
      <w:r w:rsidRPr="006977CA">
        <w:rPr>
          <w:rFonts w:eastAsia="Times New Roman" w:cstheme="minorHAnsi"/>
        </w:rPr>
        <w:tab/>
      </w:r>
      <w:r w:rsidRPr="006977CA">
        <w:rPr>
          <w:rFonts w:eastAsia="Times New Roman" w:cstheme="minorHAnsi"/>
        </w:rPr>
        <w:tab/>
      </w:r>
      <w:r w:rsidRPr="006977CA">
        <w:rPr>
          <w:rFonts w:eastAsia="Times New Roman" w:cstheme="minorHAnsi"/>
        </w:rPr>
        <w:tab/>
      </w:r>
      <w:r w:rsidRPr="006977CA">
        <w:rPr>
          <w:rFonts w:eastAsia="Times New Roman" w:cstheme="minorHAnsi"/>
        </w:rPr>
        <w:tab/>
        <w:t xml:space="preserve"> </w:t>
      </w:r>
      <w:r>
        <w:rPr>
          <w:rFonts w:eastAsia="Times New Roman" w:cstheme="minorHAnsi"/>
        </w:rPr>
        <w:t xml:space="preserve">              </w:t>
      </w:r>
      <w:r w:rsidRPr="006977CA">
        <w:rPr>
          <w:rFonts w:eastAsia="Times New Roman" w:cstheme="minorHAnsi"/>
        </w:rPr>
        <w:t>706-272-4430</w:t>
      </w:r>
    </w:p>
    <w:p w14:paraId="16FD9B2F" w14:textId="77777777" w:rsidR="00A15BEE" w:rsidRPr="006977CA" w:rsidRDefault="00A15BEE" w:rsidP="00A15BEE">
      <w:pPr>
        <w:spacing w:after="0" w:line="240" w:lineRule="auto"/>
        <w:ind w:left="1440"/>
        <w:jc w:val="both"/>
        <w:rPr>
          <w:rFonts w:eastAsia="Times New Roman" w:cstheme="minorHAnsi"/>
        </w:rPr>
      </w:pPr>
      <w:r w:rsidRPr="006977CA">
        <w:rPr>
          <w:rFonts w:eastAsia="Times New Roman" w:cstheme="minorHAnsi"/>
        </w:rPr>
        <w:t xml:space="preserve">Hamilton Medical Center                                                                         </w:t>
      </w:r>
      <w:r>
        <w:rPr>
          <w:rFonts w:eastAsia="Times New Roman" w:cstheme="minorHAnsi"/>
        </w:rPr>
        <w:t xml:space="preserve">             </w:t>
      </w:r>
      <w:r w:rsidRPr="006977CA">
        <w:rPr>
          <w:rFonts w:eastAsia="Times New Roman" w:cstheme="minorHAnsi"/>
        </w:rPr>
        <w:t>706-272-6000</w:t>
      </w:r>
    </w:p>
    <w:p w14:paraId="1A371E56" w14:textId="77777777" w:rsidR="00A15BEE" w:rsidRPr="006977CA" w:rsidRDefault="00A15BEE" w:rsidP="00A15BEE">
      <w:pPr>
        <w:spacing w:after="0" w:line="240" w:lineRule="auto"/>
        <w:ind w:left="1440"/>
        <w:jc w:val="both"/>
        <w:rPr>
          <w:rFonts w:eastAsia="Times New Roman" w:cstheme="minorHAnsi"/>
        </w:rPr>
      </w:pPr>
      <w:r w:rsidRPr="006977CA">
        <w:rPr>
          <w:rFonts w:eastAsia="Times New Roman" w:cstheme="minorHAnsi"/>
        </w:rPr>
        <w:t xml:space="preserve">Northwest Georgia Family Crisis Center                                                          </w:t>
      </w:r>
      <w:r>
        <w:rPr>
          <w:rFonts w:eastAsia="Times New Roman" w:cstheme="minorHAnsi"/>
        </w:rPr>
        <w:t xml:space="preserve"> </w:t>
      </w:r>
      <w:r w:rsidRPr="006977CA">
        <w:rPr>
          <w:rFonts w:eastAsia="Times New Roman" w:cstheme="minorHAnsi"/>
        </w:rPr>
        <w:t xml:space="preserve"> 706-278-6595</w:t>
      </w:r>
    </w:p>
    <w:p w14:paraId="4F938EED" w14:textId="77777777" w:rsidR="00A15BEE" w:rsidRPr="006977CA" w:rsidRDefault="00A15BEE" w:rsidP="00A15BEE">
      <w:pPr>
        <w:spacing w:after="0" w:line="240" w:lineRule="auto"/>
        <w:ind w:left="1440"/>
        <w:jc w:val="both"/>
        <w:rPr>
          <w:rFonts w:eastAsia="Times New Roman" w:cstheme="minorHAnsi"/>
        </w:rPr>
      </w:pPr>
    </w:p>
    <w:p w14:paraId="6ADEF116" w14:textId="77777777" w:rsidR="00A15BEE" w:rsidRPr="006977CA" w:rsidRDefault="00A15BEE" w:rsidP="00A15BEE">
      <w:pPr>
        <w:widowControl w:val="0"/>
        <w:numPr>
          <w:ilvl w:val="0"/>
          <w:numId w:val="5"/>
        </w:numPr>
        <w:spacing w:before="240" w:after="240" w:line="240" w:lineRule="auto"/>
        <w:contextualSpacing/>
        <w:jc w:val="both"/>
        <w:rPr>
          <w:rFonts w:eastAsia="Times New Roman" w:cstheme="minorHAnsi"/>
          <w:b/>
          <w:bCs/>
        </w:rPr>
      </w:pPr>
      <w:r w:rsidRPr="006977CA">
        <w:rPr>
          <w:rFonts w:eastAsia="Times New Roman" w:cstheme="minorHAnsi"/>
          <w:b/>
          <w:bCs/>
        </w:rPr>
        <w:t>Accommodations</w:t>
      </w:r>
    </w:p>
    <w:p w14:paraId="05D3D4C7" w14:textId="77777777" w:rsidR="00A15BEE" w:rsidRPr="006977CA" w:rsidRDefault="00A15BEE" w:rsidP="00A15BEE">
      <w:pPr>
        <w:spacing w:before="240" w:after="240" w:line="240" w:lineRule="auto"/>
        <w:ind w:left="720"/>
        <w:contextualSpacing/>
        <w:jc w:val="both"/>
        <w:rPr>
          <w:rFonts w:eastAsia="Times New Roman" w:cstheme="minorHAnsi"/>
          <w:b/>
          <w:bCs/>
        </w:rPr>
      </w:pPr>
    </w:p>
    <w:p w14:paraId="2A968C78" w14:textId="77777777" w:rsidR="00A15BEE" w:rsidRPr="006977CA" w:rsidRDefault="00A15BEE" w:rsidP="00A15BEE">
      <w:pPr>
        <w:spacing w:before="120" w:line="240" w:lineRule="auto"/>
        <w:ind w:left="720"/>
        <w:jc w:val="both"/>
        <w:rPr>
          <w:rFonts w:eastAsia="Times New Roman" w:cstheme="minorHAnsi"/>
        </w:rPr>
      </w:pPr>
      <w:r w:rsidRPr="006977CA">
        <w:rPr>
          <w:rFonts w:eastAsia="Times New Roman" w:cstheme="minorHAnsi"/>
        </w:rPr>
        <w:lastRenderedPageBreak/>
        <w:t xml:space="preserve">Whether or not a student or employee reports to law enforcement and or pursues any formal action, if they report an incident of sexual assault, domestic violence, dating violence, or stalking, Dalton State is committed to providing them as safe a learning or working environment as possible. Upon request Dalton State will make any reasonably available change to a victim’s academic, living, transportation, and or working situation. Students and employees may contact the Title IX Coordinator </w:t>
      </w:r>
      <w:proofErr w:type="gramStart"/>
      <w:r w:rsidRPr="006977CA">
        <w:rPr>
          <w:rFonts w:eastAsia="Times New Roman" w:cstheme="minorHAnsi"/>
        </w:rPr>
        <w:t>at</w:t>
      </w:r>
      <w:proofErr w:type="gramEnd"/>
      <w:r w:rsidRPr="006977CA">
        <w:rPr>
          <w:rFonts w:eastAsia="Times New Roman" w:cstheme="minorHAnsi"/>
        </w:rPr>
        <w:t xml:space="preserve"> 706-272-</w:t>
      </w:r>
      <w:r>
        <w:rPr>
          <w:rFonts w:eastAsia="Times New Roman" w:cstheme="minorHAnsi"/>
        </w:rPr>
        <w:t>2504</w:t>
      </w:r>
      <w:r w:rsidRPr="006977CA">
        <w:rPr>
          <w:rFonts w:eastAsia="Times New Roman" w:cstheme="minorHAnsi"/>
        </w:rPr>
        <w:t xml:space="preserve"> for assistance. If a victim reports to law enforcement, they may assist them in obtaining a no-contact/restraining order from a criminal court.</w:t>
      </w:r>
    </w:p>
    <w:p w14:paraId="6C979795" w14:textId="77777777" w:rsidR="00A15BEE" w:rsidRPr="006977CA" w:rsidRDefault="00A15BEE" w:rsidP="00A15BEE">
      <w:pPr>
        <w:spacing w:before="120" w:line="240" w:lineRule="auto"/>
        <w:ind w:left="720"/>
        <w:jc w:val="both"/>
        <w:rPr>
          <w:rFonts w:eastAsia="Times New Roman" w:cstheme="minorHAnsi"/>
          <w:b/>
          <w:bCs/>
        </w:rPr>
      </w:pPr>
      <w:r w:rsidRPr="006977CA">
        <w:rPr>
          <w:rFonts w:eastAsia="Times New Roman" w:cstheme="minorHAnsi"/>
        </w:rPr>
        <w:t xml:space="preserve">Dalton State is committed to ensuring that any such order is fully upheld on all institutionally owned and controlled </w:t>
      </w:r>
      <w:proofErr w:type="gramStart"/>
      <w:r w:rsidRPr="006977CA">
        <w:rPr>
          <w:rFonts w:eastAsia="Times New Roman" w:cstheme="minorHAnsi"/>
        </w:rPr>
        <w:t>property, and</w:t>
      </w:r>
      <w:proofErr w:type="gramEnd"/>
      <w:r w:rsidRPr="006977CA">
        <w:rPr>
          <w:rFonts w:eastAsia="Times New Roman" w:cstheme="minorHAnsi"/>
        </w:rPr>
        <w:t xml:space="preserve"> is also committed to protecting victims from any further harm, and the College may issue an institutional no-contact order.</w:t>
      </w:r>
    </w:p>
    <w:p w14:paraId="0E9F0D9E"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r w:rsidRPr="006977CA">
        <w:rPr>
          <w:rFonts w:eastAsia="Times New Roman" w:cstheme="minorHAnsi"/>
          <w:b/>
          <w:bCs/>
        </w:rPr>
        <w:t>Protective orders</w:t>
      </w:r>
    </w:p>
    <w:p w14:paraId="06DA1BD3" w14:textId="77777777" w:rsidR="00A15BEE" w:rsidRPr="006977CA" w:rsidRDefault="00A15BEE" w:rsidP="00A15BEE">
      <w:pPr>
        <w:spacing w:before="120" w:line="240" w:lineRule="auto"/>
        <w:ind w:left="720"/>
        <w:contextualSpacing/>
        <w:jc w:val="both"/>
        <w:rPr>
          <w:rFonts w:eastAsia="Times New Roman" w:cstheme="minorHAnsi"/>
          <w:b/>
          <w:bCs/>
        </w:rPr>
      </w:pPr>
    </w:p>
    <w:p w14:paraId="786A34AE" w14:textId="77777777" w:rsidR="00A15BEE" w:rsidRPr="006977CA" w:rsidRDefault="00A15BEE" w:rsidP="00A15BEE">
      <w:pPr>
        <w:spacing w:before="120" w:line="240" w:lineRule="auto"/>
        <w:ind w:left="720"/>
        <w:contextualSpacing/>
        <w:jc w:val="both"/>
        <w:rPr>
          <w:rFonts w:eastAsia="Times New Roman" w:cstheme="minorHAnsi"/>
          <w:bCs/>
        </w:rPr>
      </w:pPr>
      <w:r w:rsidRPr="006977CA">
        <w:rPr>
          <w:rFonts w:eastAsia="Times New Roman" w:cstheme="minorHAnsi"/>
          <w:bCs/>
        </w:rPr>
        <w:t xml:space="preserve">If you’re a victim or potential victim, you must apply to a judge for a protective order. You must convince the judge that it's necessary to prevent continuing or imminent harm. In a domestic violence situation, however, the judge may issue a temporary order immediately, then later hold a hearing to determine whether to make the restraining order final. Contact the Whitfield County Magistrate Court for more information: </w:t>
      </w:r>
    </w:p>
    <w:p w14:paraId="1D73FEE9" w14:textId="77777777" w:rsidR="00A15BEE" w:rsidRPr="006977CA" w:rsidRDefault="00A15BEE" w:rsidP="00A15BEE">
      <w:pPr>
        <w:spacing w:after="0" w:line="240" w:lineRule="auto"/>
        <w:ind w:left="1440"/>
        <w:contextualSpacing/>
        <w:jc w:val="both"/>
        <w:rPr>
          <w:rFonts w:eastAsia="Times New Roman" w:cstheme="minorHAnsi"/>
          <w:bCs/>
          <w:i/>
        </w:rPr>
      </w:pPr>
      <w:r w:rsidRPr="006977CA">
        <w:rPr>
          <w:rFonts w:eastAsia="Times New Roman" w:cstheme="minorHAnsi"/>
          <w:bCs/>
          <w:i/>
        </w:rPr>
        <w:t>205 N Selvidge Street</w:t>
      </w:r>
    </w:p>
    <w:p w14:paraId="0606E253" w14:textId="77777777" w:rsidR="00A15BEE" w:rsidRPr="006977CA" w:rsidRDefault="00A15BEE" w:rsidP="00A15BEE">
      <w:pPr>
        <w:spacing w:after="0" w:line="240" w:lineRule="auto"/>
        <w:ind w:left="1440"/>
        <w:contextualSpacing/>
        <w:jc w:val="both"/>
        <w:rPr>
          <w:rFonts w:eastAsia="Times New Roman" w:cstheme="minorHAnsi"/>
          <w:bCs/>
          <w:i/>
        </w:rPr>
      </w:pPr>
      <w:r w:rsidRPr="006977CA">
        <w:rPr>
          <w:rFonts w:eastAsia="Times New Roman" w:cstheme="minorHAnsi"/>
          <w:bCs/>
          <w:i/>
        </w:rPr>
        <w:t>Dalton GA 30720</w:t>
      </w:r>
    </w:p>
    <w:p w14:paraId="51254E09" w14:textId="77777777" w:rsidR="00A15BEE" w:rsidRPr="006977CA" w:rsidRDefault="00A15BEE" w:rsidP="00A15BEE">
      <w:pPr>
        <w:spacing w:after="0" w:line="360" w:lineRule="auto"/>
        <w:ind w:left="1440"/>
        <w:contextualSpacing/>
        <w:jc w:val="both"/>
        <w:rPr>
          <w:rFonts w:eastAsia="Times New Roman" w:cstheme="minorHAnsi"/>
          <w:bCs/>
          <w:i/>
        </w:rPr>
      </w:pPr>
      <w:r w:rsidRPr="006977CA">
        <w:rPr>
          <w:rFonts w:eastAsia="Times New Roman" w:cstheme="minorHAnsi"/>
          <w:bCs/>
          <w:i/>
        </w:rPr>
        <w:t>(706) 278-5052</w:t>
      </w:r>
    </w:p>
    <w:p w14:paraId="1F2F9ED7"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proofErr w:type="gramStart"/>
      <w:r w:rsidRPr="006977CA">
        <w:rPr>
          <w:rFonts w:eastAsia="Times New Roman" w:cstheme="minorHAnsi"/>
          <w:b/>
        </w:rPr>
        <w:t>Student  Conduct</w:t>
      </w:r>
      <w:proofErr w:type="gramEnd"/>
    </w:p>
    <w:p w14:paraId="00ED6358" w14:textId="77777777" w:rsidR="00A15BEE" w:rsidRPr="006977CA" w:rsidRDefault="00A15BEE" w:rsidP="00A15BEE">
      <w:pPr>
        <w:spacing w:before="120" w:line="240" w:lineRule="auto"/>
        <w:ind w:left="720"/>
        <w:contextualSpacing/>
        <w:jc w:val="both"/>
        <w:rPr>
          <w:rFonts w:eastAsia="Times New Roman" w:cstheme="minorHAnsi"/>
          <w:b/>
          <w:bCs/>
        </w:rPr>
      </w:pPr>
    </w:p>
    <w:p w14:paraId="2E08D427" w14:textId="77777777" w:rsidR="00A15BEE" w:rsidRPr="006977CA" w:rsidRDefault="00A15BEE" w:rsidP="00A15BEE">
      <w:pPr>
        <w:spacing w:after="0" w:line="240" w:lineRule="auto"/>
        <w:ind w:left="720"/>
        <w:rPr>
          <w:rFonts w:eastAsia="Times New Roman" w:cstheme="minorHAnsi"/>
        </w:rPr>
      </w:pPr>
      <w:r w:rsidRPr="006977CA">
        <w:rPr>
          <w:rFonts w:eastAsia="Times New Roman" w:cstheme="minorHAnsi"/>
        </w:rPr>
        <w:t xml:space="preserve">The Dean of Students Office is responsible for administering the Student Code of Conduct, which articulates the behavioral standards and the equitable procedures used by the college to respond to allegations of student misconduct. The Code of Conduct may be accessed at: </w:t>
      </w:r>
    </w:p>
    <w:p w14:paraId="23BFA3F4" w14:textId="77777777" w:rsidR="00A15BEE" w:rsidRPr="006977CA" w:rsidRDefault="00A15BEE" w:rsidP="00A15BEE">
      <w:pPr>
        <w:spacing w:after="0" w:line="240" w:lineRule="auto"/>
        <w:ind w:left="720"/>
        <w:rPr>
          <w:rFonts w:eastAsia="Times New Roman" w:cstheme="minorHAnsi"/>
          <w:color w:val="0563C1"/>
          <w:u w:val="single"/>
        </w:rPr>
      </w:pPr>
      <w:hyperlink r:id="rId6" w:history="1">
        <w:r w:rsidRPr="006977CA">
          <w:rPr>
            <w:rFonts w:eastAsia="Times New Roman" w:cstheme="minorHAnsi"/>
            <w:color w:val="0000FF"/>
            <w:u w:val="single"/>
          </w:rPr>
          <w:t>https://www.daltonstate.edu/campus_life/student-conduct-about.cms</w:t>
        </w:r>
      </w:hyperlink>
    </w:p>
    <w:p w14:paraId="0A018712" w14:textId="77777777" w:rsidR="00A15BEE" w:rsidRPr="006977CA" w:rsidRDefault="00A15BEE" w:rsidP="00A15BEE">
      <w:pPr>
        <w:spacing w:after="0" w:line="240" w:lineRule="auto"/>
        <w:ind w:left="720"/>
        <w:rPr>
          <w:rFonts w:eastAsia="Times New Roman" w:cstheme="minorHAnsi"/>
          <w:b/>
          <w:color w:val="0000FF"/>
          <w:u w:val="single"/>
        </w:rPr>
      </w:pPr>
      <w:r w:rsidRPr="006977CA">
        <w:rPr>
          <w:rFonts w:eastAsia="Times New Roman" w:cstheme="minorHAnsi"/>
          <w:color w:val="0563C1"/>
          <w:u w:val="single"/>
        </w:rPr>
        <w:fldChar w:fldCharType="begin"/>
      </w:r>
      <w:r w:rsidRPr="006977CA">
        <w:rPr>
          <w:rFonts w:eastAsia="Times New Roman" w:cstheme="minorHAnsi"/>
          <w:color w:val="0563C1"/>
          <w:u w:val="single"/>
        </w:rPr>
        <w:instrText xml:space="preserve"> HYPERLINK "https://www.daltonstate.edu/campus_life/student-conduct-about.cms" </w:instrText>
      </w:r>
      <w:r w:rsidRPr="006977CA">
        <w:rPr>
          <w:rFonts w:eastAsia="Times New Roman" w:cstheme="minorHAnsi"/>
          <w:color w:val="0563C1"/>
          <w:u w:val="single"/>
        </w:rPr>
      </w:r>
      <w:r w:rsidRPr="006977CA">
        <w:rPr>
          <w:rFonts w:eastAsia="Times New Roman" w:cstheme="minorHAnsi"/>
          <w:color w:val="0563C1"/>
          <w:u w:val="single"/>
        </w:rPr>
        <w:fldChar w:fldCharType="separate"/>
      </w:r>
    </w:p>
    <w:p w14:paraId="77A77AF1" w14:textId="77777777" w:rsidR="00A15BEE" w:rsidRPr="006977CA" w:rsidRDefault="00A15BEE" w:rsidP="00A15BEE">
      <w:pPr>
        <w:spacing w:after="0" w:line="240" w:lineRule="auto"/>
        <w:ind w:left="720"/>
        <w:rPr>
          <w:rFonts w:eastAsia="Times New Roman" w:cstheme="minorHAnsi"/>
          <w:b/>
          <w:bCs/>
        </w:rPr>
      </w:pPr>
      <w:r w:rsidRPr="006977CA">
        <w:rPr>
          <w:rFonts w:eastAsia="Times New Roman" w:cstheme="minorHAnsi"/>
          <w:color w:val="0563C1"/>
          <w:u w:val="single"/>
        </w:rPr>
        <w:fldChar w:fldCharType="end"/>
      </w:r>
      <w:r w:rsidRPr="006977CA">
        <w:rPr>
          <w:rFonts w:eastAsia="Times New Roman" w:cstheme="minorHAnsi"/>
          <w:b/>
        </w:rPr>
        <w:t>Disciplinary Procedures</w:t>
      </w:r>
    </w:p>
    <w:p w14:paraId="6F2456FD" w14:textId="77777777" w:rsidR="00A15BEE" w:rsidRPr="006977CA" w:rsidRDefault="00A15BEE" w:rsidP="00A15BEE">
      <w:pPr>
        <w:widowControl w:val="0"/>
        <w:numPr>
          <w:ilvl w:val="1"/>
          <w:numId w:val="7"/>
        </w:numPr>
        <w:spacing w:after="0" w:line="240" w:lineRule="auto"/>
        <w:ind w:left="1580"/>
        <w:rPr>
          <w:rFonts w:eastAsia="Times New Roman" w:cstheme="minorHAnsi"/>
        </w:rPr>
      </w:pPr>
      <w:r w:rsidRPr="006977CA">
        <w:rPr>
          <w:rFonts w:eastAsia="Times New Roman" w:cstheme="minorHAnsi"/>
          <w:b/>
          <w:bCs/>
        </w:rPr>
        <w:t>Throughout the student conduct disciplinary procedures, accused students shall be afforded the following rights:</w:t>
      </w:r>
    </w:p>
    <w:p w14:paraId="602A0BA3"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receive notice of alleged violations</w:t>
      </w:r>
    </w:p>
    <w:p w14:paraId="480D636D"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 xml:space="preserve">To be provided an opportunity to respond to alleged </w:t>
      </w:r>
      <w:proofErr w:type="gramStart"/>
      <w:r w:rsidRPr="006977CA">
        <w:rPr>
          <w:rFonts w:eastAsia="Times New Roman" w:cstheme="minorHAnsi"/>
        </w:rPr>
        <w:t>violations</w:t>
      </w:r>
      <w:proofErr w:type="gramEnd"/>
    </w:p>
    <w:p w14:paraId="44AC2610"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seek information from the Student Conduct Administrator or a hearing officer about the review and resolution processes</w:t>
      </w:r>
    </w:p>
    <w:p w14:paraId="1B3D0902"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be accompanied by one advisor of his/her choice to conduct meetings and hearings (For further information on advisors, see section IV.7)</w:t>
      </w:r>
    </w:p>
    <w:p w14:paraId="0F8F595C"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present relevant information on his/her behalf</w:t>
      </w:r>
    </w:p>
    <w:p w14:paraId="0963EAC7"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request relevant witnesses in his/her behalf</w:t>
      </w:r>
    </w:p>
    <w:p w14:paraId="59328B4A"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remain silent during any investigations and/or hearing and have no interference of responsibility drawn from such silence. (If the respondent chooses to remain silent, the investigation may still proceed, and policy violation charges may still result, and any charges may be resolved regarding the respondent)</w:t>
      </w:r>
    </w:p>
    <w:p w14:paraId="03167C2A"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 xml:space="preserve">To have unrelated charges and cases resolved separately, unless the </w:t>
      </w:r>
      <w:r w:rsidRPr="006977CA">
        <w:rPr>
          <w:rFonts w:eastAsia="Times New Roman" w:cstheme="minorHAnsi"/>
        </w:rPr>
        <w:lastRenderedPageBreak/>
        <w:t xml:space="preserve">respondent consents to having them </w:t>
      </w:r>
      <w:proofErr w:type="gramStart"/>
      <w:r w:rsidRPr="006977CA">
        <w:rPr>
          <w:rFonts w:eastAsia="Times New Roman" w:cstheme="minorHAnsi"/>
        </w:rPr>
        <w:t>aggregated</w:t>
      </w:r>
      <w:proofErr w:type="gramEnd"/>
    </w:p>
    <w:p w14:paraId="10A6086A"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be informed of any disciplinary outcomes in writing</w:t>
      </w:r>
    </w:p>
    <w:p w14:paraId="4C9D83FB" w14:textId="77777777" w:rsidR="00A15BEE" w:rsidRPr="006977CA" w:rsidRDefault="00A15BEE" w:rsidP="00A15BEE">
      <w:pPr>
        <w:widowControl w:val="0"/>
        <w:numPr>
          <w:ilvl w:val="2"/>
          <w:numId w:val="7"/>
        </w:numPr>
        <w:spacing w:after="0" w:line="240" w:lineRule="auto"/>
        <w:ind w:left="1940"/>
        <w:rPr>
          <w:rFonts w:eastAsia="Times New Roman" w:cstheme="minorHAnsi"/>
        </w:rPr>
      </w:pPr>
      <w:r w:rsidRPr="006977CA">
        <w:rPr>
          <w:rFonts w:eastAsia="Times New Roman" w:cstheme="minorHAnsi"/>
        </w:rPr>
        <w:t>To appeal decisions on specific grounds (For further information on appeals, see section X)</w:t>
      </w:r>
    </w:p>
    <w:p w14:paraId="51DD0AE0" w14:textId="77777777" w:rsidR="00A15BEE" w:rsidRPr="006977CA" w:rsidRDefault="00A15BEE" w:rsidP="00A15BEE">
      <w:pPr>
        <w:widowControl w:val="0"/>
        <w:numPr>
          <w:ilvl w:val="2"/>
          <w:numId w:val="7"/>
        </w:numPr>
        <w:spacing w:after="0" w:line="240" w:lineRule="auto"/>
        <w:ind w:left="1940"/>
        <w:jc w:val="both"/>
        <w:rPr>
          <w:rFonts w:eastAsia="Times New Roman" w:cstheme="minorHAnsi"/>
        </w:rPr>
      </w:pPr>
      <w:r w:rsidRPr="006977CA">
        <w:rPr>
          <w:rFonts w:eastAsia="Times New Roman" w:cstheme="minorHAnsi"/>
        </w:rPr>
        <w:t>To attend classes and required College functions until a hearing is held and a decision is rendered. Exceptions can be made when an interim suspension is imposed. (For further information on interim suspension see Section IX)</w:t>
      </w:r>
    </w:p>
    <w:p w14:paraId="27F71349" w14:textId="77777777" w:rsidR="00A15BEE" w:rsidRPr="006977CA" w:rsidRDefault="00A15BEE" w:rsidP="00A15BEE">
      <w:pPr>
        <w:spacing w:after="0" w:line="240" w:lineRule="auto"/>
        <w:jc w:val="both"/>
        <w:rPr>
          <w:rFonts w:eastAsia="Times New Roman" w:cstheme="minorHAnsi"/>
        </w:rPr>
      </w:pPr>
    </w:p>
    <w:p w14:paraId="4CAB9E2D" w14:textId="77777777" w:rsidR="00A15BEE" w:rsidRPr="006977CA" w:rsidRDefault="00A15BEE" w:rsidP="00A15BEE">
      <w:pPr>
        <w:spacing w:after="0" w:line="240" w:lineRule="auto"/>
        <w:jc w:val="both"/>
        <w:rPr>
          <w:rFonts w:eastAsia="Times New Roman" w:cstheme="minorHAnsi"/>
        </w:rPr>
      </w:pPr>
    </w:p>
    <w:p w14:paraId="6EE00933"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r w:rsidRPr="006977CA">
        <w:rPr>
          <w:rFonts w:eastAsia="Times New Roman" w:cstheme="minorHAnsi"/>
          <w:b/>
          <w:bCs/>
        </w:rPr>
        <w:t>Crime Victims Bill of Rights</w:t>
      </w:r>
    </w:p>
    <w:p w14:paraId="23CDD61A" w14:textId="77777777" w:rsidR="00A15BEE" w:rsidRPr="006977CA" w:rsidRDefault="00A15BEE" w:rsidP="00A15BEE">
      <w:pPr>
        <w:spacing w:before="120" w:line="240" w:lineRule="auto"/>
        <w:ind w:left="720"/>
        <w:contextualSpacing/>
        <w:jc w:val="both"/>
        <w:rPr>
          <w:rFonts w:eastAsia="Times New Roman" w:cstheme="minorHAnsi"/>
          <w:b/>
          <w:bCs/>
        </w:rPr>
      </w:pPr>
    </w:p>
    <w:p w14:paraId="2A9B5E91" w14:textId="77777777" w:rsidR="00A15BEE" w:rsidRPr="006977CA" w:rsidRDefault="00A15BEE" w:rsidP="00A15BEE">
      <w:pPr>
        <w:spacing w:after="100" w:afterAutospacing="1" w:line="240" w:lineRule="auto"/>
        <w:ind w:left="720"/>
        <w:rPr>
          <w:rFonts w:eastAsia="Times New Roman" w:cstheme="minorHAnsi"/>
        </w:rPr>
      </w:pPr>
      <w:r w:rsidRPr="006977CA">
        <w:rPr>
          <w:rFonts w:eastAsia="Times New Roman" w:cstheme="minorHAnsi"/>
        </w:rPr>
        <w:t>The Georgia Crime Victims Bill of Rights, O.C.G.A. 15-17-1, et seq., provides individuals who are victims of certain crimes specific rights. These rights include:</w:t>
      </w:r>
    </w:p>
    <w:p w14:paraId="2587A038"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to reasonable, accurate, and timely notice of any scheduled court proceedings or any changes to such </w:t>
      </w:r>
      <w:proofErr w:type="gramStart"/>
      <w:r w:rsidRPr="006977CA">
        <w:rPr>
          <w:rFonts w:eastAsia="Times New Roman" w:cstheme="minorHAnsi"/>
        </w:rPr>
        <w:t>proceedings;</w:t>
      </w:r>
      <w:proofErr w:type="gramEnd"/>
    </w:p>
    <w:p w14:paraId="5F1A3904"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to reasonable, accurate, and timely notice of the arrest, release, or escape of the </w:t>
      </w:r>
      <w:proofErr w:type="gramStart"/>
      <w:r w:rsidRPr="006977CA">
        <w:rPr>
          <w:rFonts w:eastAsia="Times New Roman" w:cstheme="minorHAnsi"/>
        </w:rPr>
        <w:t>accused;</w:t>
      </w:r>
      <w:proofErr w:type="gramEnd"/>
    </w:p>
    <w:p w14:paraId="0C0A42E5"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not to be excluded from any scheduled court proceedings, except as provided by </w:t>
      </w:r>
      <w:proofErr w:type="gramStart"/>
      <w:r w:rsidRPr="006977CA">
        <w:rPr>
          <w:rFonts w:eastAsia="Times New Roman" w:cstheme="minorHAnsi"/>
        </w:rPr>
        <w:t>law;</w:t>
      </w:r>
      <w:proofErr w:type="gramEnd"/>
    </w:p>
    <w:p w14:paraId="00B50903"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to be heard at any scheduled court proceedings involving the release, plea, or sentencing of the </w:t>
      </w:r>
      <w:proofErr w:type="gramStart"/>
      <w:r w:rsidRPr="006977CA">
        <w:rPr>
          <w:rFonts w:eastAsia="Times New Roman" w:cstheme="minorHAnsi"/>
        </w:rPr>
        <w:t>accused;</w:t>
      </w:r>
      <w:proofErr w:type="gramEnd"/>
    </w:p>
    <w:p w14:paraId="3C2765F2"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to file a written objection in any parole proceedings involving the </w:t>
      </w:r>
      <w:proofErr w:type="gramStart"/>
      <w:r w:rsidRPr="006977CA">
        <w:rPr>
          <w:rFonts w:eastAsia="Times New Roman" w:cstheme="minorHAnsi"/>
        </w:rPr>
        <w:t>accused;</w:t>
      </w:r>
      <w:proofErr w:type="gramEnd"/>
    </w:p>
    <w:p w14:paraId="4E7ED50C"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to confer with the prosecuting attorney in any criminal prosecution related to the </w:t>
      </w:r>
      <w:proofErr w:type="gramStart"/>
      <w:r w:rsidRPr="006977CA">
        <w:rPr>
          <w:rFonts w:eastAsia="Times New Roman" w:cstheme="minorHAnsi"/>
        </w:rPr>
        <w:t>victim;</w:t>
      </w:r>
      <w:proofErr w:type="gramEnd"/>
    </w:p>
    <w:p w14:paraId="72C01462"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The right to restitution as provided by </w:t>
      </w:r>
      <w:proofErr w:type="gramStart"/>
      <w:r w:rsidRPr="006977CA">
        <w:rPr>
          <w:rFonts w:eastAsia="Times New Roman" w:cstheme="minorHAnsi"/>
        </w:rPr>
        <w:t>law;</w:t>
      </w:r>
      <w:proofErr w:type="gramEnd"/>
    </w:p>
    <w:p w14:paraId="4DDAEA70"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The right to proceedings free from unreasonable delay; and</w:t>
      </w:r>
    </w:p>
    <w:p w14:paraId="6260A7D2" w14:textId="77777777" w:rsidR="00A15BEE" w:rsidRPr="006977CA" w:rsidRDefault="00A15BEE" w:rsidP="00A15BEE">
      <w:pPr>
        <w:widowControl w:val="0"/>
        <w:numPr>
          <w:ilvl w:val="0"/>
          <w:numId w:val="1"/>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The right to be treated fairly and with dignity by all criminal justice agencies involved in the case.</w:t>
      </w:r>
    </w:p>
    <w:p w14:paraId="31131B07" w14:textId="77777777" w:rsidR="00A15BEE" w:rsidRPr="006977CA" w:rsidRDefault="00A15BEE" w:rsidP="00A15BEE">
      <w:pPr>
        <w:spacing w:before="100" w:beforeAutospacing="1" w:after="100" w:afterAutospacing="1" w:line="240" w:lineRule="auto"/>
        <w:ind w:left="720"/>
        <w:rPr>
          <w:rFonts w:eastAsia="Times New Roman" w:cstheme="minorHAnsi"/>
        </w:rPr>
      </w:pPr>
      <w:r w:rsidRPr="006977CA">
        <w:rPr>
          <w:rFonts w:eastAsia="Times New Roman" w:cstheme="minorHAnsi"/>
        </w:rPr>
        <w:t>The Crime Victims Bill of Rights specifically applies to victims of the following crimes:</w:t>
      </w:r>
    </w:p>
    <w:p w14:paraId="4500990F"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Homicide</w:t>
      </w:r>
    </w:p>
    <w:p w14:paraId="42FCB329"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Assault and Battery</w:t>
      </w:r>
    </w:p>
    <w:p w14:paraId="7371F625"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Kidnapping, False Imprisonment and related offenses</w:t>
      </w:r>
    </w:p>
    <w:p w14:paraId="75FCE9DE"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Reckless Conduct</w:t>
      </w:r>
    </w:p>
    <w:p w14:paraId="02A4D061"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Cruelty to Children</w:t>
      </w:r>
    </w:p>
    <w:p w14:paraId="07DACDEB"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Feticide</w:t>
      </w:r>
    </w:p>
    <w:p w14:paraId="701A5815"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Stalking/Aggravated Stalking</w:t>
      </w:r>
    </w:p>
    <w:p w14:paraId="3DB218CD"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Cruelty to a Person 65 Years of Age or Older</w:t>
      </w:r>
    </w:p>
    <w:p w14:paraId="746E52DA"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All Sexual Offenses</w:t>
      </w:r>
    </w:p>
    <w:p w14:paraId="476D61FE"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Burglary</w:t>
      </w:r>
    </w:p>
    <w:p w14:paraId="4A551D39"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Arson, Bombs and Explosives</w:t>
      </w:r>
    </w:p>
    <w:p w14:paraId="3E4EE647"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Theft</w:t>
      </w:r>
    </w:p>
    <w:p w14:paraId="73E51213"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Robbery</w:t>
      </w:r>
    </w:p>
    <w:p w14:paraId="35F34C67"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Forgery, Deposit Account Fraud, Illegal Use of Financial Transaction Cards, Other Fraud Related Offenses, Computer Crimes, &amp; Identity Theft</w:t>
      </w:r>
    </w:p>
    <w:p w14:paraId="51C6DBAA"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Sale or Distribution of Harmful Materials to Minors</w:t>
      </w:r>
    </w:p>
    <w:p w14:paraId="54E5F733"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lastRenderedPageBreak/>
        <w:t>Elder Abuse</w:t>
      </w:r>
    </w:p>
    <w:p w14:paraId="154955B1"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Homicide by Vehicle</w:t>
      </w:r>
    </w:p>
    <w:p w14:paraId="39692BF0"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Feticide by Vehicle</w:t>
      </w:r>
    </w:p>
    <w:p w14:paraId="12C7585A" w14:textId="77777777" w:rsidR="00A15BEE" w:rsidRPr="006977CA" w:rsidRDefault="00A15BEE" w:rsidP="00A15BEE">
      <w:pPr>
        <w:widowControl w:val="0"/>
        <w:numPr>
          <w:ilvl w:val="0"/>
          <w:numId w:val="2"/>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Serious Injury by Vehicle</w:t>
      </w:r>
    </w:p>
    <w:p w14:paraId="04953716" w14:textId="77777777" w:rsidR="00A15BEE" w:rsidRPr="006977CA" w:rsidRDefault="00A15BEE" w:rsidP="00A15BEE">
      <w:pPr>
        <w:spacing w:before="100" w:beforeAutospacing="1" w:after="100" w:afterAutospacing="1" w:line="240" w:lineRule="auto"/>
        <w:ind w:left="720"/>
        <w:rPr>
          <w:rFonts w:eastAsia="Times New Roman" w:cstheme="minorHAnsi"/>
        </w:rPr>
      </w:pPr>
      <w:r w:rsidRPr="006977CA">
        <w:rPr>
          <w:rFonts w:eastAsia="Times New Roman" w:cstheme="minorHAnsi"/>
        </w:rPr>
        <w:t>In general, after the crime occurs and is reported, and upon initial contact with a victim, law enforcement and court personnel must advise him or her of the following:</w:t>
      </w:r>
    </w:p>
    <w:p w14:paraId="6B6EF7EB" w14:textId="77777777" w:rsidR="00A15BEE" w:rsidRPr="006977CA" w:rsidRDefault="00A15BEE" w:rsidP="00A15BEE">
      <w:pPr>
        <w:widowControl w:val="0"/>
        <w:numPr>
          <w:ilvl w:val="0"/>
          <w:numId w:val="3"/>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That it is possible that the accused may be released from custody prior to </w:t>
      </w:r>
      <w:proofErr w:type="gramStart"/>
      <w:r w:rsidRPr="006977CA">
        <w:rPr>
          <w:rFonts w:eastAsia="Times New Roman" w:cstheme="minorHAnsi"/>
        </w:rPr>
        <w:t>trial;</w:t>
      </w:r>
      <w:proofErr w:type="gramEnd"/>
    </w:p>
    <w:p w14:paraId="1B29E3AA" w14:textId="77777777" w:rsidR="00A15BEE" w:rsidRPr="006977CA" w:rsidRDefault="00A15BEE" w:rsidP="00A15BEE">
      <w:pPr>
        <w:widowControl w:val="0"/>
        <w:numPr>
          <w:ilvl w:val="0"/>
          <w:numId w:val="3"/>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That victims have certain rights during various stages of the criminal justice </w:t>
      </w:r>
      <w:proofErr w:type="gramStart"/>
      <w:r w:rsidRPr="006977CA">
        <w:rPr>
          <w:rFonts w:eastAsia="Times New Roman" w:cstheme="minorHAnsi"/>
        </w:rPr>
        <w:t>system;</w:t>
      </w:r>
      <w:proofErr w:type="gramEnd"/>
    </w:p>
    <w:p w14:paraId="310FBCD0" w14:textId="77777777" w:rsidR="00A15BEE" w:rsidRPr="006977CA" w:rsidRDefault="00A15BEE" w:rsidP="00A15BEE">
      <w:pPr>
        <w:widowControl w:val="0"/>
        <w:numPr>
          <w:ilvl w:val="0"/>
          <w:numId w:val="3"/>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That victims have the right to refuse or agree to be interviewed by the accused, the accused's attorney, or anyone who represents or contacts you on behalf of the </w:t>
      </w:r>
      <w:proofErr w:type="gramStart"/>
      <w:r w:rsidRPr="006977CA">
        <w:rPr>
          <w:rFonts w:eastAsia="Times New Roman" w:cstheme="minorHAnsi"/>
        </w:rPr>
        <w:t>accused;</w:t>
      </w:r>
      <w:proofErr w:type="gramEnd"/>
    </w:p>
    <w:p w14:paraId="43CB390D" w14:textId="77777777" w:rsidR="00A15BEE" w:rsidRPr="006977CA" w:rsidRDefault="00A15BEE" w:rsidP="00A15BEE">
      <w:pPr>
        <w:widowControl w:val="0"/>
        <w:numPr>
          <w:ilvl w:val="0"/>
          <w:numId w:val="3"/>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That additional information about these stages can be obtained by contacting the pertinent state and/or local agency involved, or by contacting the </w:t>
      </w:r>
      <w:hyperlink r:id="rId7" w:history="1">
        <w:r w:rsidRPr="006977CA">
          <w:rPr>
            <w:rFonts w:eastAsia="Times New Roman" w:cstheme="minorHAnsi"/>
            <w:color w:val="0563C1"/>
            <w:u w:val="single"/>
          </w:rPr>
          <w:t>Criminal Justice Coordinating Council</w:t>
        </w:r>
      </w:hyperlink>
      <w:r w:rsidRPr="006977CA">
        <w:rPr>
          <w:rFonts w:eastAsia="Times New Roman" w:cstheme="minorHAnsi"/>
        </w:rPr>
        <w:t xml:space="preserve"> at </w:t>
      </w:r>
      <w:proofErr w:type="gramStart"/>
      <w:r w:rsidRPr="006977CA">
        <w:rPr>
          <w:rFonts w:eastAsia="Times New Roman" w:cstheme="minorHAnsi"/>
        </w:rPr>
        <w:t>404-559-4949;</w:t>
      </w:r>
      <w:proofErr w:type="gramEnd"/>
    </w:p>
    <w:p w14:paraId="6658781E" w14:textId="77777777" w:rsidR="00A15BEE" w:rsidRPr="006977CA" w:rsidRDefault="00A15BEE" w:rsidP="00A15BEE">
      <w:pPr>
        <w:widowControl w:val="0"/>
        <w:numPr>
          <w:ilvl w:val="0"/>
          <w:numId w:val="3"/>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 xml:space="preserve">That victims may be eligible for monetary compensation for certain out-of-pocket losses incurred as a result of their victimization from the State's Crime Victims Emergency Fund (Crime Victims Compensation) which is administered by the </w:t>
      </w:r>
      <w:hyperlink r:id="rId8" w:history="1">
        <w:hyperlink r:id="rId9" w:history="1">
          <w:hyperlink r:id="rId10" w:history="1">
            <w:r w:rsidRPr="006977CA">
              <w:rPr>
                <w:rFonts w:eastAsia="Times New Roman" w:cstheme="minorHAnsi"/>
                <w:color w:val="0563C1"/>
                <w:u w:val="single"/>
              </w:rPr>
              <w:t>Criminal Justice Coordinating Council</w:t>
            </w:r>
          </w:hyperlink>
        </w:hyperlink>
      </w:hyperlink>
      <w:r w:rsidRPr="006977CA">
        <w:rPr>
          <w:rFonts w:eastAsia="Times New Roman" w:cstheme="minorHAnsi"/>
        </w:rPr>
        <w:t>;</w:t>
      </w:r>
    </w:p>
    <w:p w14:paraId="6B051347" w14:textId="77777777" w:rsidR="00A15BEE" w:rsidRPr="006977CA" w:rsidRDefault="00A15BEE" w:rsidP="00A15BEE">
      <w:pPr>
        <w:widowControl w:val="0"/>
        <w:numPr>
          <w:ilvl w:val="0"/>
          <w:numId w:val="3"/>
        </w:numPr>
        <w:tabs>
          <w:tab w:val="num" w:pos="1440"/>
        </w:tabs>
        <w:spacing w:before="100" w:beforeAutospacing="1" w:after="100" w:afterAutospacing="1" w:line="240" w:lineRule="auto"/>
        <w:ind w:left="1440"/>
        <w:rPr>
          <w:rFonts w:eastAsia="Times New Roman" w:cstheme="minorHAnsi"/>
        </w:rPr>
      </w:pPr>
      <w:r w:rsidRPr="006977CA">
        <w:rPr>
          <w:rFonts w:eastAsia="Times New Roman" w:cstheme="minorHAnsi"/>
        </w:rPr>
        <w:t>That victims may have available to them community-based victim service programs and that more information may be obtained by contacting the Governor's Victim Assistance Helpline at 1-800-338-6745.</w:t>
      </w:r>
    </w:p>
    <w:p w14:paraId="3CC178B7"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r w:rsidRPr="006977CA">
        <w:rPr>
          <w:rFonts w:eastAsia="Times New Roman" w:cstheme="minorHAnsi"/>
          <w:b/>
          <w:bCs/>
        </w:rPr>
        <w:t>Victim Confidentiality</w:t>
      </w:r>
    </w:p>
    <w:p w14:paraId="6540C9F0" w14:textId="77777777" w:rsidR="00A15BEE" w:rsidRPr="006977CA" w:rsidRDefault="00A15BEE" w:rsidP="00A15BEE">
      <w:pPr>
        <w:spacing w:before="120" w:line="240" w:lineRule="auto"/>
        <w:ind w:left="720"/>
        <w:contextualSpacing/>
        <w:jc w:val="both"/>
        <w:rPr>
          <w:rFonts w:eastAsia="Times New Roman" w:cstheme="minorHAnsi"/>
          <w:b/>
          <w:bCs/>
        </w:rPr>
      </w:pPr>
    </w:p>
    <w:p w14:paraId="018FE4A4" w14:textId="77777777" w:rsidR="00A15BEE" w:rsidRPr="006977CA" w:rsidRDefault="00A15BEE" w:rsidP="00A15BEE">
      <w:pPr>
        <w:spacing w:before="120" w:line="240" w:lineRule="auto"/>
        <w:ind w:left="720"/>
        <w:jc w:val="both"/>
        <w:rPr>
          <w:rFonts w:eastAsia="Times New Roman" w:cstheme="minorHAnsi"/>
        </w:rPr>
      </w:pPr>
      <w:r w:rsidRPr="006977CA">
        <w:rPr>
          <w:rFonts w:eastAsia="Times New Roman" w:cstheme="minorHAnsi"/>
        </w:rPr>
        <w:t xml:space="preserve">Dalton State recognizes the often-sensitive nature of sexual assault, domestic violence, dating violence, and stalking incidents. We are committed to protecting the privacy of any individual who makes a report. Different officials and personnel are, however, able to offer varying levels of privacy protection to victims. Reports made to law enforcement, including if criminal prosecution is pursued, may be made public and shared with the accused. </w:t>
      </w:r>
    </w:p>
    <w:p w14:paraId="08432300" w14:textId="77777777" w:rsidR="00A15BEE" w:rsidRPr="006977CA" w:rsidRDefault="00A15BEE" w:rsidP="00A15BEE">
      <w:pPr>
        <w:spacing w:before="120" w:line="240" w:lineRule="auto"/>
        <w:ind w:left="720"/>
        <w:jc w:val="both"/>
        <w:rPr>
          <w:rFonts w:eastAsia="Times New Roman" w:cstheme="minorHAnsi"/>
        </w:rPr>
      </w:pPr>
      <w:r w:rsidRPr="006977CA">
        <w:rPr>
          <w:rFonts w:eastAsia="Times New Roman" w:cstheme="minorHAnsi"/>
        </w:rPr>
        <w:t xml:space="preserve">Reports made to Campus Security Authorities (college officials; deans, directors, coaches, etc.) may be kept confidential, and identifying information about the victim may not be made public. Information about reports will only be shared with institutional personnel as needed to investigate and effectively respond to the report. Every effort will be made to limit the scope of information shared to keep it to a minimum of detail, and only when </w:t>
      </w:r>
      <w:proofErr w:type="gramStart"/>
      <w:r w:rsidRPr="006977CA">
        <w:rPr>
          <w:rFonts w:eastAsia="Times New Roman" w:cstheme="minorHAnsi"/>
        </w:rPr>
        <w:t>absolutely necessary</w:t>
      </w:r>
      <w:proofErr w:type="gramEnd"/>
      <w:r w:rsidRPr="006977CA">
        <w:rPr>
          <w:rFonts w:eastAsia="Times New Roman" w:cstheme="minorHAnsi"/>
        </w:rPr>
        <w:t>. Reports made to medical professionals and licensed mental health counselors will not be shared with any third parties except in cases of imminent danger to the victim or a third party.</w:t>
      </w:r>
    </w:p>
    <w:p w14:paraId="12A26C0E" w14:textId="77777777" w:rsidR="00A15BEE" w:rsidRPr="006977CA" w:rsidRDefault="00A15BEE" w:rsidP="00A15BEE">
      <w:pPr>
        <w:widowControl w:val="0"/>
        <w:numPr>
          <w:ilvl w:val="0"/>
          <w:numId w:val="5"/>
        </w:numPr>
        <w:spacing w:before="120" w:after="0" w:line="240" w:lineRule="auto"/>
        <w:contextualSpacing/>
        <w:jc w:val="both"/>
        <w:rPr>
          <w:rFonts w:eastAsia="Times New Roman" w:cstheme="minorHAnsi"/>
          <w:b/>
          <w:bCs/>
        </w:rPr>
      </w:pPr>
      <w:r w:rsidRPr="006977CA">
        <w:rPr>
          <w:rFonts w:eastAsia="Times New Roman" w:cstheme="minorHAnsi"/>
          <w:b/>
          <w:bCs/>
        </w:rPr>
        <w:t>Dalton State’s Procedures for Responding to Clery Offenses:</w:t>
      </w:r>
    </w:p>
    <w:p w14:paraId="7C1804C6" w14:textId="77777777" w:rsidR="00A15BEE" w:rsidRPr="006977CA" w:rsidRDefault="00A15BEE" w:rsidP="00A15BEE">
      <w:pPr>
        <w:spacing w:before="120" w:line="240" w:lineRule="auto"/>
        <w:ind w:left="720"/>
        <w:contextualSpacing/>
        <w:jc w:val="both"/>
        <w:rPr>
          <w:rFonts w:eastAsia="Times New Roman" w:cstheme="minorHAnsi"/>
          <w:b/>
          <w:bCs/>
        </w:rPr>
      </w:pPr>
    </w:p>
    <w:p w14:paraId="407C2484" w14:textId="77777777" w:rsidR="00A15BEE" w:rsidRPr="006977CA" w:rsidRDefault="00A15BEE" w:rsidP="00A15BEE">
      <w:pPr>
        <w:widowControl w:val="0"/>
        <w:numPr>
          <w:ilvl w:val="0"/>
          <w:numId w:val="6"/>
        </w:numPr>
        <w:spacing w:before="120" w:after="0" w:line="240" w:lineRule="auto"/>
        <w:contextualSpacing/>
        <w:jc w:val="both"/>
        <w:rPr>
          <w:rFonts w:eastAsia="Times New Roman" w:cstheme="minorHAnsi"/>
          <w:b/>
          <w:bCs/>
        </w:rPr>
      </w:pPr>
      <w:r w:rsidRPr="006977CA">
        <w:rPr>
          <w:rFonts w:eastAsia="Times New Roman" w:cstheme="minorHAnsi"/>
          <w:b/>
          <w:bCs/>
        </w:rPr>
        <w:t>Procedure Institution Will Follow for Reports of Sexual Assault:</w:t>
      </w:r>
    </w:p>
    <w:p w14:paraId="7591B27E"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 xml:space="preserve">Depending on when reported (immediate vs. delayed report), </w:t>
      </w:r>
      <w:proofErr w:type="gramStart"/>
      <w:r w:rsidRPr="006977CA">
        <w:rPr>
          <w:rFonts w:eastAsia="Times New Roman" w:cstheme="minorHAnsi"/>
          <w:bCs/>
        </w:rPr>
        <w:t>institution</w:t>
      </w:r>
      <w:proofErr w:type="gramEnd"/>
      <w:r w:rsidRPr="006977CA">
        <w:rPr>
          <w:rFonts w:eastAsia="Times New Roman" w:cstheme="minorHAnsi"/>
          <w:bCs/>
        </w:rPr>
        <w:t xml:space="preserve"> will provide complainant with access to medical care.</w:t>
      </w:r>
    </w:p>
    <w:p w14:paraId="7179841B"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assess immediate safety needs of complainant.</w:t>
      </w:r>
    </w:p>
    <w:p w14:paraId="5DCDF538"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 xml:space="preserve">Institution will assist complainant with contacting local police if complainant </w:t>
      </w:r>
      <w:r w:rsidRPr="006977CA">
        <w:rPr>
          <w:rFonts w:eastAsia="Times New Roman" w:cstheme="minorHAnsi"/>
          <w:bCs/>
        </w:rPr>
        <w:lastRenderedPageBreak/>
        <w:t>requests and complainant will be provided with contact information for local police department.</w:t>
      </w:r>
    </w:p>
    <w:p w14:paraId="41455776"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complainant with referrals to on and off campus mental health providers.</w:t>
      </w:r>
    </w:p>
    <w:p w14:paraId="1C3915D9"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 xml:space="preserve">Institution will assess </w:t>
      </w:r>
      <w:proofErr w:type="gramStart"/>
      <w:r w:rsidRPr="006977CA">
        <w:rPr>
          <w:rFonts w:eastAsia="Times New Roman" w:cstheme="minorHAnsi"/>
          <w:bCs/>
        </w:rPr>
        <w:t>need</w:t>
      </w:r>
      <w:proofErr w:type="gramEnd"/>
      <w:r w:rsidRPr="006977CA">
        <w:rPr>
          <w:rFonts w:eastAsia="Times New Roman" w:cstheme="minorHAnsi"/>
          <w:bCs/>
        </w:rPr>
        <w:t xml:space="preserve"> to implement interim or long-term protective measures, such as housing changes, change in class schedule, "No Contact" directive between both parties.</w:t>
      </w:r>
    </w:p>
    <w:p w14:paraId="5507E05A"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a Criminal Trespass Warning to accused party if deemed appropriate.</w:t>
      </w:r>
    </w:p>
    <w:p w14:paraId="2A36B137"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instructions on how to apply for Protective Order.</w:t>
      </w:r>
    </w:p>
    <w:p w14:paraId="0F3960A0"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proofErr w:type="gramStart"/>
      <w:r w:rsidRPr="006977CA">
        <w:rPr>
          <w:rFonts w:eastAsia="Times New Roman" w:cstheme="minorHAnsi"/>
          <w:bCs/>
        </w:rPr>
        <w:t>Institution</w:t>
      </w:r>
      <w:proofErr w:type="gramEnd"/>
      <w:r w:rsidRPr="006977CA">
        <w:rPr>
          <w:rFonts w:eastAsia="Times New Roman" w:cstheme="minorHAnsi"/>
          <w:bCs/>
        </w:rPr>
        <w:t xml:space="preserve"> will inform the complainant of the outcome of the investigation, </w:t>
      </w:r>
      <w:proofErr w:type="gramStart"/>
      <w:r w:rsidRPr="006977CA">
        <w:rPr>
          <w:rFonts w:eastAsia="Times New Roman" w:cstheme="minorHAnsi"/>
          <w:bCs/>
        </w:rPr>
        <w:t>whether or not</w:t>
      </w:r>
      <w:proofErr w:type="gramEnd"/>
      <w:r w:rsidRPr="006977CA">
        <w:rPr>
          <w:rFonts w:eastAsia="Times New Roman" w:cstheme="minorHAnsi"/>
          <w:bCs/>
        </w:rPr>
        <w:t xml:space="preserve"> the accused will be administratively charged and what the outcome of the hearing is.</w:t>
      </w:r>
    </w:p>
    <w:p w14:paraId="273CA534"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enforce the anti-retaliation policy and take immediate and separate action against parties that retaliate against a person for complaining of sex-based discrimination or for assisting in the investigation.</w:t>
      </w:r>
    </w:p>
    <w:p w14:paraId="5C9A95E1" w14:textId="77777777" w:rsidR="00A15BEE" w:rsidRPr="006977CA" w:rsidRDefault="00A15BEE" w:rsidP="00A15BEE">
      <w:pPr>
        <w:spacing w:before="120" w:line="240" w:lineRule="auto"/>
        <w:ind w:left="2160"/>
        <w:contextualSpacing/>
        <w:jc w:val="both"/>
        <w:rPr>
          <w:rFonts w:eastAsia="Times New Roman" w:cstheme="minorHAnsi"/>
          <w:bCs/>
        </w:rPr>
      </w:pPr>
    </w:p>
    <w:p w14:paraId="3174B859" w14:textId="77777777" w:rsidR="00A15BEE" w:rsidRPr="006977CA" w:rsidRDefault="00A15BEE" w:rsidP="00A15BEE">
      <w:pPr>
        <w:widowControl w:val="0"/>
        <w:numPr>
          <w:ilvl w:val="0"/>
          <w:numId w:val="6"/>
        </w:numPr>
        <w:spacing w:before="120" w:after="0" w:line="240" w:lineRule="auto"/>
        <w:contextualSpacing/>
        <w:jc w:val="both"/>
        <w:rPr>
          <w:rFonts w:eastAsia="Times New Roman" w:cstheme="minorHAnsi"/>
          <w:b/>
          <w:bCs/>
        </w:rPr>
      </w:pPr>
      <w:r w:rsidRPr="006977CA">
        <w:rPr>
          <w:rFonts w:eastAsia="Times New Roman" w:cstheme="minorHAnsi"/>
          <w:b/>
          <w:bCs/>
        </w:rPr>
        <w:t>Procedure Institution Will Follow for Reports of Stalking:</w:t>
      </w:r>
    </w:p>
    <w:p w14:paraId="65D0FF7A"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assess immediate safety needs of complainant.</w:t>
      </w:r>
    </w:p>
    <w:p w14:paraId="1DE5E0A9"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proofErr w:type="gramStart"/>
      <w:r w:rsidRPr="006977CA">
        <w:rPr>
          <w:rFonts w:eastAsia="Times New Roman" w:cstheme="minorHAnsi"/>
          <w:bCs/>
        </w:rPr>
        <w:t>Institution</w:t>
      </w:r>
      <w:proofErr w:type="gramEnd"/>
      <w:r w:rsidRPr="006977CA">
        <w:rPr>
          <w:rFonts w:eastAsia="Times New Roman" w:cstheme="minorHAnsi"/>
          <w:bCs/>
        </w:rPr>
        <w:t xml:space="preserve"> will assist complainant with contacting local police if complainant requests and complainant provided with contact information for local police department.</w:t>
      </w:r>
    </w:p>
    <w:p w14:paraId="16E8781B"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instructions on how to apply for Protective Order.</w:t>
      </w:r>
    </w:p>
    <w:p w14:paraId="6F546CF0"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information to complainant on how to preserve evidence.</w:t>
      </w:r>
    </w:p>
    <w:p w14:paraId="14E417D2"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 xml:space="preserve">Institution will assess </w:t>
      </w:r>
      <w:proofErr w:type="gramStart"/>
      <w:r w:rsidRPr="006977CA">
        <w:rPr>
          <w:rFonts w:eastAsia="Times New Roman" w:cstheme="minorHAnsi"/>
          <w:bCs/>
        </w:rPr>
        <w:t>need</w:t>
      </w:r>
      <w:proofErr w:type="gramEnd"/>
      <w:r w:rsidRPr="006977CA">
        <w:rPr>
          <w:rFonts w:eastAsia="Times New Roman" w:cstheme="minorHAnsi"/>
          <w:bCs/>
        </w:rPr>
        <w:t xml:space="preserve"> to implement interim or long-term protective measures to protect the complainant, if appropriate.</w:t>
      </w:r>
    </w:p>
    <w:p w14:paraId="0D7284AC"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a Criminal Trespass Warning to accused party, if deemed appropriate.</w:t>
      </w:r>
    </w:p>
    <w:p w14:paraId="7D58627E" w14:textId="77777777" w:rsidR="00A15BEE" w:rsidRPr="006977CA" w:rsidRDefault="00A15BEE" w:rsidP="00A15BEE">
      <w:pPr>
        <w:spacing w:before="120" w:line="240" w:lineRule="auto"/>
        <w:ind w:left="2160"/>
        <w:contextualSpacing/>
        <w:jc w:val="both"/>
        <w:rPr>
          <w:rFonts w:eastAsia="Times New Roman" w:cstheme="minorHAnsi"/>
          <w:bCs/>
        </w:rPr>
      </w:pPr>
    </w:p>
    <w:p w14:paraId="42C77BD3" w14:textId="77777777" w:rsidR="00A15BEE" w:rsidRPr="006977CA" w:rsidRDefault="00A15BEE" w:rsidP="00A15BEE">
      <w:pPr>
        <w:widowControl w:val="0"/>
        <w:numPr>
          <w:ilvl w:val="0"/>
          <w:numId w:val="6"/>
        </w:numPr>
        <w:spacing w:before="120" w:after="0" w:line="240" w:lineRule="auto"/>
        <w:contextualSpacing/>
        <w:jc w:val="both"/>
        <w:rPr>
          <w:rFonts w:eastAsia="Times New Roman" w:cstheme="minorHAnsi"/>
          <w:b/>
          <w:bCs/>
        </w:rPr>
      </w:pPr>
      <w:r w:rsidRPr="006977CA">
        <w:rPr>
          <w:rFonts w:eastAsia="Times New Roman" w:cstheme="minorHAnsi"/>
          <w:b/>
          <w:bCs/>
        </w:rPr>
        <w:t>Procedure Institution Will Follow for Reports of Dating Violence:</w:t>
      </w:r>
    </w:p>
    <w:p w14:paraId="79E637D3"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assess immediate safety needs of complainant.</w:t>
      </w:r>
    </w:p>
    <w:p w14:paraId="0FF88241"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proofErr w:type="gramStart"/>
      <w:r w:rsidRPr="006977CA">
        <w:rPr>
          <w:rFonts w:eastAsia="Times New Roman" w:cstheme="minorHAnsi"/>
          <w:bCs/>
        </w:rPr>
        <w:t>Institution</w:t>
      </w:r>
      <w:proofErr w:type="gramEnd"/>
      <w:r w:rsidRPr="006977CA">
        <w:rPr>
          <w:rFonts w:eastAsia="Times New Roman" w:cstheme="minorHAnsi"/>
          <w:bCs/>
        </w:rPr>
        <w:t xml:space="preserve"> will assist complainant with contacting local police if complainant requests and complainant provided with contact information for local police department.</w:t>
      </w:r>
    </w:p>
    <w:p w14:paraId="4BA9C0F8"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instructions on how to apply for Protective Order.</w:t>
      </w:r>
    </w:p>
    <w:p w14:paraId="4A5CBD44"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information to complainant on how to preserve evidence.</w:t>
      </w:r>
    </w:p>
    <w:p w14:paraId="62D5A501"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 xml:space="preserve">Institution will assess </w:t>
      </w:r>
      <w:proofErr w:type="gramStart"/>
      <w:r w:rsidRPr="006977CA">
        <w:rPr>
          <w:rFonts w:eastAsia="Times New Roman" w:cstheme="minorHAnsi"/>
          <w:bCs/>
        </w:rPr>
        <w:t>need</w:t>
      </w:r>
      <w:proofErr w:type="gramEnd"/>
      <w:r w:rsidRPr="006977CA">
        <w:rPr>
          <w:rFonts w:eastAsia="Times New Roman" w:cstheme="minorHAnsi"/>
          <w:bCs/>
        </w:rPr>
        <w:t xml:space="preserve"> to implement interim or long-term protective measures to protect the complainant, if appropriate.</w:t>
      </w:r>
    </w:p>
    <w:p w14:paraId="39280642"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a Criminal Trespass Warning to accused party, if deemed appropriate.</w:t>
      </w:r>
    </w:p>
    <w:p w14:paraId="4F84E539" w14:textId="77777777" w:rsidR="00A15BEE" w:rsidRPr="006977CA" w:rsidRDefault="00A15BEE" w:rsidP="00A15BEE">
      <w:pPr>
        <w:spacing w:before="120" w:line="240" w:lineRule="auto"/>
        <w:ind w:left="2160"/>
        <w:contextualSpacing/>
        <w:jc w:val="both"/>
        <w:rPr>
          <w:rFonts w:eastAsia="Times New Roman" w:cstheme="minorHAnsi"/>
          <w:bCs/>
        </w:rPr>
      </w:pPr>
    </w:p>
    <w:p w14:paraId="385A8DFB" w14:textId="77777777" w:rsidR="00A15BEE" w:rsidRPr="006977CA" w:rsidRDefault="00A15BEE" w:rsidP="00A15BEE">
      <w:pPr>
        <w:widowControl w:val="0"/>
        <w:numPr>
          <w:ilvl w:val="0"/>
          <w:numId w:val="6"/>
        </w:numPr>
        <w:spacing w:before="120" w:after="0" w:line="240" w:lineRule="auto"/>
        <w:contextualSpacing/>
        <w:jc w:val="both"/>
        <w:rPr>
          <w:rFonts w:eastAsia="Times New Roman" w:cstheme="minorHAnsi"/>
          <w:b/>
          <w:bCs/>
        </w:rPr>
      </w:pPr>
      <w:r w:rsidRPr="006977CA">
        <w:rPr>
          <w:rFonts w:eastAsia="Times New Roman" w:cstheme="minorHAnsi"/>
          <w:b/>
          <w:bCs/>
        </w:rPr>
        <w:t>Procedure Institution Will Follow for Reports of Domestic Violence:</w:t>
      </w:r>
    </w:p>
    <w:p w14:paraId="05059A99"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assess immediate safety needs of complainant.</w:t>
      </w:r>
    </w:p>
    <w:p w14:paraId="43088CD7"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proofErr w:type="gramStart"/>
      <w:r w:rsidRPr="006977CA">
        <w:rPr>
          <w:rFonts w:eastAsia="Times New Roman" w:cstheme="minorHAnsi"/>
          <w:bCs/>
        </w:rPr>
        <w:t>Institution</w:t>
      </w:r>
      <w:proofErr w:type="gramEnd"/>
      <w:r w:rsidRPr="006977CA">
        <w:rPr>
          <w:rFonts w:eastAsia="Times New Roman" w:cstheme="minorHAnsi"/>
          <w:bCs/>
        </w:rPr>
        <w:t xml:space="preserve"> will assist complainant with contacting local police if complainant requests and complainant provided with contact information for local police department.</w:t>
      </w:r>
    </w:p>
    <w:p w14:paraId="3A0FE2DB"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lastRenderedPageBreak/>
        <w:t>Institution will provide instructions on how to apply for Protective Order.</w:t>
      </w:r>
    </w:p>
    <w:p w14:paraId="0E7EC1BB"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information to complainant on how to preserve evidence.</w:t>
      </w:r>
    </w:p>
    <w:p w14:paraId="2FDAD211"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 xml:space="preserve">Institution will assess </w:t>
      </w:r>
      <w:proofErr w:type="gramStart"/>
      <w:r w:rsidRPr="006977CA">
        <w:rPr>
          <w:rFonts w:eastAsia="Times New Roman" w:cstheme="minorHAnsi"/>
          <w:bCs/>
        </w:rPr>
        <w:t>need</w:t>
      </w:r>
      <w:proofErr w:type="gramEnd"/>
      <w:r w:rsidRPr="006977CA">
        <w:rPr>
          <w:rFonts w:eastAsia="Times New Roman" w:cstheme="minorHAnsi"/>
          <w:bCs/>
        </w:rPr>
        <w:t xml:space="preserve"> to implement interim or long-term protective measures to protect the complainant, if appropriate.</w:t>
      </w:r>
    </w:p>
    <w:p w14:paraId="78B99350" w14:textId="77777777" w:rsidR="00A15BEE" w:rsidRPr="006977CA" w:rsidRDefault="00A15BEE" w:rsidP="00A15BEE">
      <w:pPr>
        <w:widowControl w:val="0"/>
        <w:numPr>
          <w:ilvl w:val="1"/>
          <w:numId w:val="6"/>
        </w:numPr>
        <w:spacing w:before="120" w:after="0" w:line="240" w:lineRule="auto"/>
        <w:contextualSpacing/>
        <w:jc w:val="both"/>
        <w:rPr>
          <w:rFonts w:eastAsia="Times New Roman" w:cstheme="minorHAnsi"/>
          <w:bCs/>
        </w:rPr>
      </w:pPr>
      <w:r w:rsidRPr="006977CA">
        <w:rPr>
          <w:rFonts w:eastAsia="Times New Roman" w:cstheme="minorHAnsi"/>
          <w:bCs/>
        </w:rPr>
        <w:t>Institution will provide a Criminal Trespass Warning to accused party, if deemed appropriate.</w:t>
      </w:r>
    </w:p>
    <w:p w14:paraId="02556CA9" w14:textId="77777777" w:rsidR="00A15BEE" w:rsidRPr="006977CA" w:rsidRDefault="00A15BEE" w:rsidP="00A15BEE">
      <w:pPr>
        <w:spacing w:before="120" w:line="240" w:lineRule="auto"/>
        <w:ind w:left="720"/>
        <w:jc w:val="both"/>
        <w:rPr>
          <w:rFonts w:eastAsia="Times New Roman" w:cstheme="minorHAnsi"/>
          <w:b/>
          <w:bCs/>
        </w:rPr>
      </w:pPr>
    </w:p>
    <w:p w14:paraId="223647F8" w14:textId="77777777" w:rsidR="00A15BEE" w:rsidRPr="006977CA" w:rsidRDefault="00A15BEE" w:rsidP="00A15BEE">
      <w:pPr>
        <w:widowControl w:val="0"/>
        <w:spacing w:before="63" w:after="0" w:line="240" w:lineRule="auto"/>
        <w:ind w:left="514"/>
        <w:rPr>
          <w:rFonts w:eastAsia="Arial" w:cstheme="minorHAnsi"/>
        </w:rPr>
      </w:pPr>
    </w:p>
    <w:p w14:paraId="1773ADE5" w14:textId="77777777" w:rsidR="00A15BEE" w:rsidRPr="006977CA" w:rsidRDefault="00A15BEE" w:rsidP="00A15BEE">
      <w:pPr>
        <w:spacing w:line="240" w:lineRule="auto"/>
        <w:ind w:left="720"/>
        <w:rPr>
          <w:rFonts w:cstheme="minorHAnsi"/>
        </w:rPr>
      </w:pPr>
    </w:p>
    <w:p w14:paraId="1D58EB6E" w14:textId="77777777" w:rsidR="00EC6FCE" w:rsidRDefault="00EC6FCE"/>
    <w:sectPr w:rsidR="00EC6FCE" w:rsidSect="00A1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3AE"/>
    <w:multiLevelType w:val="hybridMultilevel"/>
    <w:tmpl w:val="606814A0"/>
    <w:lvl w:ilvl="0" w:tplc="6C50CAB2">
      <w:start w:val="2"/>
      <w:numFmt w:val="upperRoman"/>
      <w:lvlText w:val="%1."/>
      <w:lvlJc w:val="left"/>
      <w:pPr>
        <w:ind w:left="500" w:hanging="360"/>
      </w:pPr>
      <w:rPr>
        <w:rFonts w:ascii="Times New Roman" w:eastAsia="Times New Roman" w:hAnsi="Times New Roman" w:hint="default"/>
        <w:b/>
        <w:bCs/>
        <w:spacing w:val="1"/>
        <w:sz w:val="28"/>
        <w:szCs w:val="28"/>
      </w:rPr>
    </w:lvl>
    <w:lvl w:ilvl="1" w:tplc="A5E25EBA">
      <w:start w:val="1"/>
      <w:numFmt w:val="decimal"/>
      <w:lvlText w:val="%2."/>
      <w:lvlJc w:val="left"/>
      <w:pPr>
        <w:ind w:left="860" w:hanging="360"/>
      </w:pPr>
      <w:rPr>
        <w:rFonts w:ascii="Times New Roman" w:eastAsia="Times New Roman" w:hAnsi="Times New Roman" w:hint="default"/>
        <w:sz w:val="24"/>
        <w:szCs w:val="24"/>
      </w:rPr>
    </w:lvl>
    <w:lvl w:ilvl="2" w:tplc="B1407FAE">
      <w:start w:val="1"/>
      <w:numFmt w:val="upperLetter"/>
      <w:lvlText w:val="%3."/>
      <w:lvlJc w:val="left"/>
      <w:pPr>
        <w:ind w:left="1220" w:hanging="360"/>
      </w:pPr>
      <w:rPr>
        <w:rFonts w:asciiTheme="minorHAnsi" w:eastAsia="Times New Roman" w:hAnsiTheme="minorHAnsi" w:cstheme="minorHAnsi" w:hint="default"/>
        <w:spacing w:val="-1"/>
        <w:sz w:val="22"/>
        <w:szCs w:val="22"/>
      </w:rPr>
    </w:lvl>
    <w:lvl w:ilvl="3" w:tplc="521C6CC8">
      <w:start w:val="1"/>
      <w:numFmt w:val="lowerRoman"/>
      <w:lvlText w:val="%4."/>
      <w:lvlJc w:val="left"/>
      <w:pPr>
        <w:ind w:left="2302" w:hanging="310"/>
        <w:jc w:val="right"/>
      </w:pPr>
      <w:rPr>
        <w:rFonts w:ascii="Times New Roman" w:eastAsia="Times New Roman" w:hAnsi="Times New Roman" w:hint="default"/>
        <w:sz w:val="24"/>
        <w:szCs w:val="24"/>
      </w:rPr>
    </w:lvl>
    <w:lvl w:ilvl="4" w:tplc="CB82CCF4">
      <w:start w:val="1"/>
      <w:numFmt w:val="bullet"/>
      <w:lvlText w:val="•"/>
      <w:lvlJc w:val="left"/>
      <w:pPr>
        <w:ind w:left="1311" w:hanging="310"/>
      </w:pPr>
      <w:rPr>
        <w:rFonts w:hint="default"/>
      </w:rPr>
    </w:lvl>
    <w:lvl w:ilvl="5" w:tplc="3D205ED4">
      <w:start w:val="1"/>
      <w:numFmt w:val="bullet"/>
      <w:lvlText w:val="•"/>
      <w:lvlJc w:val="left"/>
      <w:pPr>
        <w:ind w:left="1400" w:hanging="310"/>
      </w:pPr>
      <w:rPr>
        <w:rFonts w:hint="default"/>
      </w:rPr>
    </w:lvl>
    <w:lvl w:ilvl="6" w:tplc="4978CD1E">
      <w:start w:val="1"/>
      <w:numFmt w:val="bullet"/>
      <w:lvlText w:val="•"/>
      <w:lvlJc w:val="left"/>
      <w:pPr>
        <w:ind w:left="1580" w:hanging="310"/>
      </w:pPr>
      <w:rPr>
        <w:rFonts w:hint="default"/>
      </w:rPr>
    </w:lvl>
    <w:lvl w:ilvl="7" w:tplc="8B689050">
      <w:start w:val="1"/>
      <w:numFmt w:val="bullet"/>
      <w:lvlText w:val="•"/>
      <w:lvlJc w:val="left"/>
      <w:pPr>
        <w:ind w:left="2302" w:hanging="310"/>
      </w:pPr>
      <w:rPr>
        <w:rFonts w:hint="default"/>
      </w:rPr>
    </w:lvl>
    <w:lvl w:ilvl="8" w:tplc="B704AC70">
      <w:start w:val="1"/>
      <w:numFmt w:val="bullet"/>
      <w:lvlText w:val="•"/>
      <w:lvlJc w:val="left"/>
      <w:pPr>
        <w:ind w:left="4748" w:hanging="310"/>
      </w:pPr>
      <w:rPr>
        <w:rFonts w:hint="default"/>
      </w:rPr>
    </w:lvl>
  </w:abstractNum>
  <w:abstractNum w:abstractNumId="1" w15:restartNumberingAfterBreak="0">
    <w:nsid w:val="3CDF6E0B"/>
    <w:multiLevelType w:val="hybridMultilevel"/>
    <w:tmpl w:val="35FC5FE8"/>
    <w:lvl w:ilvl="0" w:tplc="04090013">
      <w:start w:val="1"/>
      <w:numFmt w:val="upperRoman"/>
      <w:lvlText w:val="%1."/>
      <w:lvlJc w:val="right"/>
      <w:pPr>
        <w:ind w:left="720" w:hanging="360"/>
      </w:pPr>
    </w:lvl>
    <w:lvl w:ilvl="1" w:tplc="D0E2F7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33279"/>
    <w:multiLevelType w:val="hybridMultilevel"/>
    <w:tmpl w:val="11AC4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0F4A03"/>
    <w:multiLevelType w:val="hybridMultilevel"/>
    <w:tmpl w:val="493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E51A2"/>
    <w:multiLevelType w:val="multilevel"/>
    <w:tmpl w:val="10422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84AAC"/>
    <w:multiLevelType w:val="multilevel"/>
    <w:tmpl w:val="C3844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B6F9B"/>
    <w:multiLevelType w:val="multilevel"/>
    <w:tmpl w:val="6ADCE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543128">
    <w:abstractNumId w:val="4"/>
  </w:num>
  <w:num w:numId="2" w16cid:durableId="891621657">
    <w:abstractNumId w:val="5"/>
  </w:num>
  <w:num w:numId="3" w16cid:durableId="268903100">
    <w:abstractNumId w:val="6"/>
  </w:num>
  <w:num w:numId="4" w16cid:durableId="771777294">
    <w:abstractNumId w:val="3"/>
  </w:num>
  <w:num w:numId="5" w16cid:durableId="1667778060">
    <w:abstractNumId w:val="1"/>
  </w:num>
  <w:num w:numId="6" w16cid:durableId="59063685">
    <w:abstractNumId w:val="2"/>
  </w:num>
  <w:num w:numId="7" w16cid:durableId="98562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A15BEE"/>
    <w:rsid w:val="00A96437"/>
    <w:rsid w:val="00EA5320"/>
    <w:rsid w:val="00EC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F6F9"/>
  <w15:chartTrackingRefBased/>
  <w15:docId w15:val="{9FB25B98-1C23-40C5-A424-0292F59D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EE"/>
    <w:pPr>
      <w:spacing w:after="200" w:line="276" w:lineRule="auto"/>
    </w:pPr>
    <w:rPr>
      <w:kern w:val="0"/>
      <w14:ligatures w14:val="none"/>
    </w:rPr>
  </w:style>
  <w:style w:type="paragraph" w:styleId="Heading1">
    <w:name w:val="heading 1"/>
    <w:basedOn w:val="Normal"/>
    <w:next w:val="Normal"/>
    <w:link w:val="Heading1Char"/>
    <w:uiPriority w:val="9"/>
    <w:qFormat/>
    <w:rsid w:val="00A15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BEE"/>
    <w:rPr>
      <w:rFonts w:eastAsiaTheme="majorEastAsia" w:cstheme="majorBidi"/>
      <w:color w:val="272727" w:themeColor="text1" w:themeTint="D8"/>
    </w:rPr>
  </w:style>
  <w:style w:type="paragraph" w:styleId="Title">
    <w:name w:val="Title"/>
    <w:basedOn w:val="Normal"/>
    <w:next w:val="Normal"/>
    <w:link w:val="TitleChar"/>
    <w:uiPriority w:val="10"/>
    <w:qFormat/>
    <w:rsid w:val="00A15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BEE"/>
    <w:pPr>
      <w:spacing w:before="160"/>
      <w:jc w:val="center"/>
    </w:pPr>
    <w:rPr>
      <w:i/>
      <w:iCs/>
      <w:color w:val="404040" w:themeColor="text1" w:themeTint="BF"/>
    </w:rPr>
  </w:style>
  <w:style w:type="character" w:customStyle="1" w:styleId="QuoteChar">
    <w:name w:val="Quote Char"/>
    <w:basedOn w:val="DefaultParagraphFont"/>
    <w:link w:val="Quote"/>
    <w:uiPriority w:val="29"/>
    <w:rsid w:val="00A15BEE"/>
    <w:rPr>
      <w:i/>
      <w:iCs/>
      <w:color w:val="404040" w:themeColor="text1" w:themeTint="BF"/>
    </w:rPr>
  </w:style>
  <w:style w:type="paragraph" w:styleId="ListParagraph">
    <w:name w:val="List Paragraph"/>
    <w:basedOn w:val="Normal"/>
    <w:uiPriority w:val="34"/>
    <w:qFormat/>
    <w:rsid w:val="00A15BEE"/>
    <w:pPr>
      <w:ind w:left="720"/>
      <w:contextualSpacing/>
    </w:pPr>
  </w:style>
  <w:style w:type="character" w:styleId="IntenseEmphasis">
    <w:name w:val="Intense Emphasis"/>
    <w:basedOn w:val="DefaultParagraphFont"/>
    <w:uiPriority w:val="21"/>
    <w:qFormat/>
    <w:rsid w:val="00A15BEE"/>
    <w:rPr>
      <w:i/>
      <w:iCs/>
      <w:color w:val="0F4761" w:themeColor="accent1" w:themeShade="BF"/>
    </w:rPr>
  </w:style>
  <w:style w:type="paragraph" w:styleId="IntenseQuote">
    <w:name w:val="Intense Quote"/>
    <w:basedOn w:val="Normal"/>
    <w:next w:val="Normal"/>
    <w:link w:val="IntenseQuoteChar"/>
    <w:uiPriority w:val="30"/>
    <w:qFormat/>
    <w:rsid w:val="00A15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BEE"/>
    <w:rPr>
      <w:i/>
      <w:iCs/>
      <w:color w:val="0F4761" w:themeColor="accent1" w:themeShade="BF"/>
    </w:rPr>
  </w:style>
  <w:style w:type="character" w:styleId="IntenseReference">
    <w:name w:val="Intense Reference"/>
    <w:basedOn w:val="DefaultParagraphFont"/>
    <w:uiPriority w:val="32"/>
    <w:qFormat/>
    <w:rsid w:val="00A15BEE"/>
    <w:rPr>
      <w:b/>
      <w:bCs/>
      <w:smallCaps/>
      <w:color w:val="0F4761" w:themeColor="accent1" w:themeShade="BF"/>
      <w:spacing w:val="5"/>
    </w:rPr>
  </w:style>
  <w:style w:type="table" w:customStyle="1" w:styleId="TableGrid1">
    <w:name w:val="Table Grid1"/>
    <w:basedOn w:val="TableNormal"/>
    <w:next w:val="TableGrid"/>
    <w:uiPriority w:val="59"/>
    <w:rsid w:val="00A15BEE"/>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cc.georgia.gov/" TargetMode="External"/><Relationship Id="rId3" Type="http://schemas.openxmlformats.org/officeDocument/2006/relationships/settings" Target="settings.xml"/><Relationship Id="rId7" Type="http://schemas.openxmlformats.org/officeDocument/2006/relationships/hyperlink" Target="https://cjcc.georg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ltonstate.edu/campus_life/student-conduct-about.cms"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cjcc.georgia.gov/" TargetMode="External"/><Relationship Id="rId4" Type="http://schemas.openxmlformats.org/officeDocument/2006/relationships/webSettings" Target="webSettings.xml"/><Relationship Id="rId9" Type="http://schemas.openxmlformats.org/officeDocument/2006/relationships/hyperlink" Target="https://cjcc.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2217</Words>
  <Characters>12638</Characters>
  <Application>Microsoft Office Word</Application>
  <DocSecurity>0</DocSecurity>
  <Lines>105</Lines>
  <Paragraphs>29</Paragraphs>
  <ScaleCrop>false</ScaleCrop>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Masters</dc:creator>
  <cp:keywords/>
  <dc:description/>
  <cp:lastModifiedBy>Michael Masters</cp:lastModifiedBy>
  <cp:revision>1</cp:revision>
  <dcterms:created xsi:type="dcterms:W3CDTF">2024-01-24T20:21:00Z</dcterms:created>
  <dcterms:modified xsi:type="dcterms:W3CDTF">2024-01-24T20:22:00Z</dcterms:modified>
</cp:coreProperties>
</file>